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FC" w:rsidRPr="00876909" w:rsidRDefault="0009315B" w:rsidP="00876909">
      <w:pPr>
        <w:pStyle w:val="TechnicalBlock"/>
        <w:ind w:left="-1134" w:right="-1134"/>
      </w:pPr>
      <w:bookmarkStart w:id="0" w:name="DW_BM_COVERPAGE"/>
      <w:bookmarkStart w:id="1" w:name="LW_BM_COVERPAGE"/>
      <w:bookmarkStart w:id="2" w:name="_GoBack"/>
      <w:bookmarkEnd w:i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1360706-8d34-4275-a26f-aa4d2ac52bac_0" style="width:568.5pt;height:451.5pt">
            <v:imagedata r:id="rId9" o:title=""/>
          </v:shape>
        </w:pict>
      </w:r>
      <w:bookmarkEnd w:id="0"/>
    </w:p>
    <w:p w:rsidR="000F1CFC" w:rsidRDefault="000F1CFC" w:rsidP="00876909">
      <w:pPr>
        <w:pStyle w:val="EntText"/>
        <w:spacing w:before="480"/>
      </w:pPr>
      <w:r w:rsidRPr="000F1CFC">
        <w:t xml:space="preserve">Delegace naleznou v příloze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876909" w:rsidRPr="00876909">
        <w:instrText>COM(2015) 626 final</w:instrText>
      </w:r>
      <w:r>
        <w:instrText xml:space="preserve">" </w:instrText>
      </w:r>
      <w:r>
        <w:fldChar w:fldCharType="separate"/>
      </w:r>
      <w:r w:rsidR="00876909" w:rsidRPr="00876909">
        <w:t xml:space="preserve">COM(2015) 626 </w:t>
      </w:r>
      <w:proofErr w:type="spellStart"/>
      <w:r w:rsidR="00876909" w:rsidRPr="00876909">
        <w:t>final</w:t>
      </w:r>
      <w:proofErr w:type="spellEnd"/>
      <w:r>
        <w:fldChar w:fldCharType="end"/>
      </w:r>
      <w:r w:rsidRPr="000F1CFC">
        <w:t>.</w:t>
      </w:r>
    </w:p>
    <w:p w:rsidR="000F1CFC" w:rsidRDefault="000F1CFC" w:rsidP="000F1CFC">
      <w:pPr>
        <w:pStyle w:val="Lignefinal"/>
      </w:pPr>
    </w:p>
    <w:p w:rsidR="000F1CFC" w:rsidRPr="000F1CFC" w:rsidRDefault="000F1CFC" w:rsidP="00876909">
      <w:pPr>
        <w:pStyle w:val="pj"/>
        <w:spacing w:before="120"/>
      </w:pPr>
      <w:r w:rsidRPr="000F1CFC">
        <w:t xml:space="preserve">Příloha: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876909" w:rsidRPr="00876909">
        <w:instrText>COM(2015) 626 final</w:instrText>
      </w:r>
      <w:r>
        <w:instrText xml:space="preserve">" </w:instrText>
      </w:r>
      <w:r>
        <w:fldChar w:fldCharType="separate"/>
      </w:r>
      <w:r w:rsidR="00876909" w:rsidRPr="00876909">
        <w:t xml:space="preserve">COM(2015) 626 </w:t>
      </w:r>
      <w:proofErr w:type="spellStart"/>
      <w:r w:rsidR="00876909" w:rsidRPr="00876909">
        <w:t>final</w:t>
      </w:r>
      <w:proofErr w:type="spellEnd"/>
      <w:r>
        <w:fldChar w:fldCharType="end"/>
      </w:r>
    </w:p>
    <w:p w:rsidR="000F1CFC" w:rsidRDefault="000F1CFC" w:rsidP="000F1CFC">
      <w:pPr>
        <w:rPr>
          <w:noProof/>
        </w:rPr>
        <w:sectPr w:rsidR="000F1CFC" w:rsidSect="000F1CFC">
          <w:headerReference w:type="even" r:id="rId10"/>
          <w:headerReference w:type="default" r:id="rId11"/>
          <w:footerReference w:type="even" r:id="rId12"/>
          <w:footerReference w:type="default" r:id="rId13"/>
          <w:headerReference w:type="first" r:id="rId14"/>
          <w:footerReference w:type="first" r:id="rId15"/>
          <w:pgSz w:w="11906" w:h="16838"/>
          <w:pgMar w:top="624" w:right="1134" w:bottom="1134" w:left="1134" w:header="567" w:footer="567" w:gutter="0"/>
          <w:pgNumType w:start="0"/>
          <w:cols w:space="720"/>
          <w:titlePg/>
          <w:docGrid w:linePitch="360"/>
        </w:sectPr>
      </w:pPr>
    </w:p>
    <w:p w:rsidR="009B25B5" w:rsidRDefault="0009315B">
      <w:pPr>
        <w:pStyle w:val="Pagedecouverture"/>
        <w:rPr>
          <w:noProof/>
        </w:rPr>
      </w:pPr>
      <w:r>
        <w:rPr>
          <w:noProof/>
        </w:rPr>
        <w:lastRenderedPageBreak/>
        <w:pict>
          <v:shape id="_x0000_i1026" type="#_x0000_t75" alt="7028ADF17C264C94994FD3FEE7F03DDF" style="width:450.75pt;height:307.5pt">
            <v:imagedata r:id="rId16" o:title=""/>
          </v:shape>
        </w:pict>
      </w:r>
    </w:p>
    <w:bookmarkEnd w:id="1"/>
    <w:p w:rsidR="009B25B5" w:rsidRDefault="009B25B5">
      <w:pPr>
        <w:rPr>
          <w:rFonts w:ascii="Times New Roman" w:hAnsi="Times New Roman" w:cs="Times New Roman"/>
          <w:noProof/>
        </w:rPr>
        <w:sectPr w:rsidR="009B25B5">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60"/>
        </w:sectPr>
      </w:pPr>
    </w:p>
    <w:p w:rsidR="009B25B5" w:rsidRPr="000F1CFC" w:rsidRDefault="000F1CFC">
      <w:pPr>
        <w:pStyle w:val="Heading"/>
        <w:jc w:val="center"/>
        <w:rPr>
          <w:rFonts w:hAnsi="Times New Roman" w:cs="Times New Roman"/>
          <w:noProof/>
          <w:lang w:eastAsia="en-GB" w:bidi="ar-SA"/>
        </w:rPr>
      </w:pPr>
      <w:r w:rsidRPr="000F1CFC">
        <w:rPr>
          <w:rFonts w:hAnsi="Times New Roman" w:cs="Times New Roman"/>
          <w:noProof/>
          <w:lang w:eastAsia="en-GB" w:bidi="ar-SA"/>
        </w:rPr>
        <w:lastRenderedPageBreak/>
        <w:t>SDĚLENÍ KOMISE EVROPSKÉMU PARLAMENTU, RADĚ, EVROPSKÉMU HOSPODÁŘSKÉMU A SOCIÁLNÍMU VÝBORU A VÝBORU REGIONŮ</w:t>
      </w:r>
    </w:p>
    <w:p w:rsidR="009B25B5" w:rsidRDefault="000F1CFC">
      <w:pPr>
        <w:pStyle w:val="Body"/>
        <w:jc w:val="center"/>
        <w:rPr>
          <w:rFonts w:hAnsi="Times New Roman" w:cs="Times New Roman"/>
          <w:b/>
          <w:noProof/>
        </w:rPr>
      </w:pPr>
      <w:r>
        <w:rPr>
          <w:rFonts w:hAnsi="Times New Roman" w:cs="Times New Roman"/>
          <w:b/>
          <w:noProof/>
        </w:rPr>
        <w:t>Směřování k modernějšímu a evropštějšímu rámci v oblasti autorského práva</w:t>
      </w:r>
    </w:p>
    <w:p w:rsidR="009B25B5" w:rsidRDefault="000F1CFC">
      <w:pPr>
        <w:pStyle w:val="Heading"/>
        <w:rPr>
          <w:rFonts w:hAnsi="Times New Roman" w:cs="Times New Roman"/>
          <w:noProof/>
        </w:rPr>
      </w:pPr>
      <w:r>
        <w:rPr>
          <w:rFonts w:hAnsi="Times New Roman" w:cs="Times New Roman"/>
          <w:noProof/>
        </w:rPr>
        <w:t>1. Autorské právo na jednotném digitálním trhu</w:t>
      </w:r>
    </w:p>
    <w:p w:rsidR="009B25B5" w:rsidRDefault="000F1CFC">
      <w:pPr>
        <w:pStyle w:val="Body"/>
        <w:jc w:val="both"/>
        <w:rPr>
          <w:rFonts w:hAnsi="Times New Roman" w:cs="Times New Roman"/>
          <w:noProof/>
        </w:rPr>
      </w:pPr>
      <w:r>
        <w:rPr>
          <w:rFonts w:hAnsi="Times New Roman" w:cs="Times New Roman"/>
          <w:noProof/>
        </w:rPr>
        <w:t>Digitální technologie, všeobecné rozšíření širokopásmového připojení a využívání internetu v každodenním životě změnily způsob tvorby, šíření a používání kreativního obsahu.</w:t>
      </w:r>
    </w:p>
    <w:p w:rsidR="009B25B5" w:rsidRDefault="000F1CFC">
      <w:pPr>
        <w:pStyle w:val="Body"/>
        <w:jc w:val="both"/>
        <w:rPr>
          <w:rFonts w:hAnsi="Times New Roman" w:cs="Times New Roman"/>
          <w:noProof/>
        </w:rPr>
      </w:pPr>
      <w:r>
        <w:rPr>
          <w:rFonts w:hAnsi="Times New Roman" w:cs="Times New Roman"/>
          <w:noProof/>
        </w:rPr>
        <w:t>Internet se stal hlavním distribučním kanálem. V roce 2014 poslouchalo hudbu, sledovalo videa a hrálo hry na internetu 49 % uživatelů internetu v EU</w:t>
      </w:r>
      <w:r>
        <w:rPr>
          <w:rStyle w:val="Znakapoznpodarou"/>
          <w:rFonts w:hAnsi="Times New Roman" w:cs="Times New Roman"/>
          <w:noProof/>
        </w:rPr>
        <w:footnoteReference w:id="1"/>
      </w:r>
      <w:r>
        <w:rPr>
          <w:rFonts w:hAnsi="Times New Roman" w:cs="Times New Roman"/>
          <w:noProof/>
        </w:rPr>
        <w:t>. Na trhu zdomácněly obchodní modely, které ještě před pouhými 15 lety nebyly známé, a nové hospodářské subjekty, jako jsou např. on-line platformy. On-line služby jsou dnes vedle fyzických nosičů, jakou jsou knihy a DVD, běžným způsobem, jak spotřebitelé využívají kreativní obsah. Obsah lze digitálně snadno a rychle kopírovat. Lidé často očekávají, že digitální obsah bude na jednotném trhu přístupný kdykoli a kdekoli na celé řadě zařízení. Je pro ně těžké to pochopit, pokud tomu tak není.</w:t>
      </w:r>
    </w:p>
    <w:p w:rsidR="009B25B5" w:rsidRDefault="000F1CFC">
      <w:pPr>
        <w:pStyle w:val="Body"/>
        <w:jc w:val="both"/>
        <w:rPr>
          <w:rFonts w:hAnsi="Times New Roman" w:cs="Times New Roman"/>
          <w:noProof/>
        </w:rPr>
      </w:pPr>
      <w:r>
        <w:rPr>
          <w:rFonts w:hAnsi="Times New Roman" w:cs="Times New Roman"/>
          <w:noProof/>
        </w:rPr>
        <w:t>Pravidla EU v oblasti autorského práva je třeba upravit tak, aby všichni účastníci trhu a občané mohli využívat příležitosti tohoto nového prostředí. K překonání roztříštěnosti a překážek v zájmu fungování jednotného trhu musí tento rámec získat evropštější rozměr.</w:t>
      </w:r>
    </w:p>
    <w:p w:rsidR="009B25B5" w:rsidRDefault="000F1CFC">
      <w:pPr>
        <w:pStyle w:val="Body"/>
        <w:jc w:val="both"/>
        <w:rPr>
          <w:rFonts w:hAnsi="Times New Roman" w:cs="Times New Roman"/>
          <w:noProof/>
        </w:rPr>
      </w:pPr>
      <w:r>
        <w:rPr>
          <w:rFonts w:hAnsi="Times New Roman" w:cs="Times New Roman"/>
          <w:noProof/>
        </w:rPr>
        <w:t>Modernizace pravidel EU v oblasti autorského práva byla poprvé oznámena v politických směrech předsedy Junckera pro nastupující Komisi a dále nastíněna ve strategii pro jednotný digitální trh</w:t>
      </w:r>
      <w:r>
        <w:rPr>
          <w:rStyle w:val="Znakapoznpodarou"/>
          <w:rFonts w:hAnsi="Times New Roman" w:cs="Times New Roman"/>
          <w:noProof/>
        </w:rPr>
        <w:footnoteReference w:id="2"/>
      </w:r>
      <w:r>
        <w:rPr>
          <w:rFonts w:hAnsi="Times New Roman" w:cs="Times New Roman"/>
          <w:noProof/>
        </w:rPr>
        <w:t>. Cílem je dosáhnout široké dostupnosti kreativního obsahu v EU, zajistit, že pravidla EU v oblasti autorských práv budou nositelům práv i nadále poskytovat vysokou úroveň ochrany, a zachovat řádnou rovnováhu s ostatními politickými cíli, jako je vzdělávání, výzkum a inovace nebo rovný přístup osob se zdravotním postižením</w:t>
      </w:r>
      <w:r>
        <w:rPr>
          <w:rStyle w:val="Znakapoznpodarou"/>
          <w:rFonts w:hAnsi="Times New Roman" w:cs="Times New Roman"/>
          <w:noProof/>
        </w:rPr>
        <w:footnoteReference w:id="3"/>
      </w:r>
      <w:r>
        <w:rPr>
          <w:rFonts w:hAnsi="Times New Roman" w:cs="Times New Roman"/>
          <w:noProof/>
        </w:rPr>
        <w:t xml:space="preserve"> v digitálním prostředí. </w:t>
      </w:r>
    </w:p>
    <w:p w:rsidR="009B25B5" w:rsidRDefault="000F1CFC">
      <w:pPr>
        <w:pStyle w:val="Body"/>
        <w:jc w:val="both"/>
        <w:rPr>
          <w:rFonts w:hAnsi="Times New Roman" w:cs="Times New Roman"/>
          <w:noProof/>
        </w:rPr>
      </w:pPr>
      <w:r>
        <w:rPr>
          <w:rFonts w:hAnsi="Times New Roman" w:cs="Times New Roman"/>
          <w:noProof/>
        </w:rPr>
        <w:t xml:space="preserve">Tyto cíle hrají důležitou roli pro hospodářský a společenský pokrok, mezinárodní konkurenceschopnost a kulturní rozmanitost v Evropě. Všechny tyto cíle se zaměřují na potřeby nositelů práv i uživatelů obsahu chráněného autorským právem. </w:t>
      </w:r>
    </w:p>
    <w:p w:rsidR="009B25B5" w:rsidRDefault="000F1CFC">
      <w:pPr>
        <w:pStyle w:val="Body"/>
        <w:jc w:val="both"/>
        <w:rPr>
          <w:rFonts w:hAnsi="Times New Roman" w:cs="Times New Roman"/>
          <w:noProof/>
        </w:rPr>
      </w:pPr>
      <w:r>
        <w:rPr>
          <w:rFonts w:hAnsi="Times New Roman" w:cs="Times New Roman"/>
          <w:noProof/>
        </w:rPr>
        <w:t>Autorské právo odměňuje kreativitu a investice do kreativního obsahu. Rámec autorského práva, který poskytuje vysokou úroveň ochrany, je základem celosvětové konkurenceschopnosti tvůrčích odvětví v Evropě</w:t>
      </w:r>
      <w:r>
        <w:rPr>
          <w:rFonts w:eastAsiaTheme="minorHAnsi" w:hAnsi="Times New Roman" w:cs="Times New Roman"/>
          <w:noProof/>
          <w:color w:val="auto"/>
          <w:sz w:val="22"/>
          <w:bdr w:val="none" w:sz="0" w:space="0" w:color="auto"/>
          <w:vertAlign w:val="superscript"/>
        </w:rPr>
        <w:footnoteReference w:id="4"/>
      </w:r>
      <w:r>
        <w:rPr>
          <w:rFonts w:hAnsi="Times New Roman" w:cs="Times New Roman"/>
          <w:noProof/>
        </w:rPr>
        <w:t xml:space="preserve">. Spolu se zásadami vnitřního trhu týkajícími se volného pohybu zboží a služeb, pravidly EU pro hospodářskou soutěž a naší mediální a kulturní politikou je autorské právo nedílnou součástí souboru pravidel, která upravují šíření kreativního obsahu v celé EU. Vztah mezi autorským právem a těmito </w:t>
      </w:r>
      <w:r>
        <w:rPr>
          <w:rFonts w:hAnsi="Times New Roman" w:cs="Times New Roman"/>
          <w:noProof/>
        </w:rPr>
        <w:lastRenderedPageBreak/>
        <w:t>ostatními oblastmi politiky určuje, jak se při produkci a šíření děl</w:t>
      </w:r>
      <w:r>
        <w:rPr>
          <w:rStyle w:val="Znakapoznpodarou"/>
          <w:rFonts w:hAnsi="Times New Roman" w:cs="Times New Roman"/>
          <w:noProof/>
        </w:rPr>
        <w:footnoteReference w:id="5"/>
      </w:r>
      <w:r>
        <w:rPr>
          <w:rFonts w:hAnsi="Times New Roman" w:cs="Times New Roman"/>
          <w:noProof/>
        </w:rPr>
        <w:t xml:space="preserve"> tvoří hodnota a jak je tato hodnota rozdělena mezi účastníky trhu.</w:t>
      </w:r>
    </w:p>
    <w:p w:rsidR="009B25B5" w:rsidRDefault="000F1CFC">
      <w:pPr>
        <w:pStyle w:val="Body"/>
        <w:jc w:val="both"/>
        <w:rPr>
          <w:rFonts w:hAnsi="Times New Roman" w:cs="Times New Roman"/>
          <w:noProof/>
        </w:rPr>
      </w:pPr>
      <w:r>
        <w:rPr>
          <w:rFonts w:hAnsi="Times New Roman" w:cs="Times New Roman"/>
          <w:noProof/>
        </w:rPr>
        <w:t>V tomto sdělení Komise uvádí podrobné informace k opatřením oznámeným ve strategii pro jednotný digitální trh, aby nastínila způsob, jak hodlá dosáhnout „modernějšího a evropštějšího rámce v oblasti autorského práva“, což je jejím cílem. Představuje plán, který obsahuje cílená opatření s návrhy pro bezprostřední budoucnost, včetně návrhu týkajícího se přenositelnosti on-line služeb poskytujících obsah předloženého společně s tímto sdělením, soubor návrhů plánovaných na rok 2016 a dlouhodobou vizi. Tento plán bude předložen v souladu se zásadami zlepšování právní úpravy a vychází z přípravných prací, které byly vykonány v několika posledních letech na stávajícím rámci</w:t>
      </w:r>
      <w:r>
        <w:rPr>
          <w:rStyle w:val="Znakapoznpodarou"/>
          <w:rFonts w:hAnsi="Times New Roman" w:cs="Times New Roman"/>
          <w:noProof/>
        </w:rPr>
        <w:footnoteReference w:id="6"/>
      </w:r>
      <w:r>
        <w:rPr>
          <w:rFonts w:hAnsi="Times New Roman" w:cs="Times New Roman"/>
          <w:noProof/>
        </w:rPr>
        <w:t>, mimo jiné z rozsáhlé veřejné konzultace v letech 2013–2014</w:t>
      </w:r>
      <w:r>
        <w:rPr>
          <w:rStyle w:val="Znakapoznpodarou"/>
          <w:rFonts w:hAnsi="Times New Roman" w:cs="Times New Roman"/>
          <w:noProof/>
        </w:rPr>
        <w:footnoteReference w:id="7"/>
      </w:r>
      <w:r>
        <w:rPr>
          <w:rFonts w:hAnsi="Times New Roman" w:cs="Times New Roman"/>
          <w:noProof/>
        </w:rPr>
        <w:t>. Zohledňuje názory Evropského parlamentu vyjádřené v jeho nedávném usnesení o provádění směrnice o autorském právu v informační společnosti</w:t>
      </w:r>
      <w:r>
        <w:rPr>
          <w:rStyle w:val="Znakapoznpodarou"/>
          <w:rFonts w:hAnsi="Times New Roman" w:cs="Times New Roman"/>
          <w:noProof/>
        </w:rPr>
        <w:footnoteReference w:id="8"/>
      </w:r>
      <w:r>
        <w:rPr>
          <w:rFonts w:hAnsi="Times New Roman" w:cs="Times New Roman"/>
          <w:noProof/>
        </w:rPr>
        <w:t xml:space="preserve"> a závěry ze zasedání Evropské rady konaného ve dnech 25.–26. června 2015</w:t>
      </w:r>
      <w:r>
        <w:rPr>
          <w:rStyle w:val="Znakapoznpodarou"/>
          <w:rFonts w:hAnsi="Times New Roman" w:cs="Times New Roman"/>
          <w:noProof/>
        </w:rPr>
        <w:footnoteReference w:id="9"/>
      </w:r>
      <w:r>
        <w:rPr>
          <w:rFonts w:hAnsi="Times New Roman" w:cs="Times New Roman"/>
          <w:noProof/>
        </w:rPr>
        <w:t>.</w:t>
      </w:r>
    </w:p>
    <w:p w:rsidR="009B25B5" w:rsidRDefault="000F1CFC">
      <w:pPr>
        <w:pStyle w:val="Body"/>
        <w:jc w:val="both"/>
        <w:rPr>
          <w:rFonts w:hAnsi="Times New Roman" w:cs="Times New Roman"/>
          <w:noProof/>
        </w:rPr>
      </w:pPr>
      <w:r>
        <w:rPr>
          <w:rFonts w:hAnsi="Times New Roman" w:cs="Times New Roman"/>
          <w:noProof/>
        </w:rPr>
        <w:t>V této souvislosti Komise považuje za nezbytné:</w:t>
      </w:r>
    </w:p>
    <w:p w:rsidR="009B25B5" w:rsidRDefault="000F1CFC">
      <w:pPr>
        <w:pStyle w:val="Odstavecseseznamem"/>
        <w:numPr>
          <w:ilvl w:val="0"/>
          <w:numId w:val="1"/>
        </w:numPr>
        <w:tabs>
          <w:tab w:val="num" w:pos="720"/>
        </w:tabs>
        <w:ind w:hanging="360"/>
        <w:jc w:val="both"/>
        <w:rPr>
          <w:rFonts w:hAnsi="Times New Roman" w:cs="Times New Roman"/>
          <w:noProof/>
        </w:rPr>
      </w:pPr>
      <w:r>
        <w:rPr>
          <w:rFonts w:hAnsi="Times New Roman" w:cs="Times New Roman"/>
          <w:noProof/>
        </w:rPr>
        <w:t>lépe sladit současná pravidla EU v oblasti autorského práva s jednotným trhem a v odůvodněných případech je více sjednotit, a to zejména tím, že se zaměří na aspekty týkající se územní působností autorských práv.</w:t>
      </w:r>
    </w:p>
    <w:p w:rsidR="009B25B5" w:rsidRDefault="000F1CFC">
      <w:pPr>
        <w:pStyle w:val="Odstavecseseznamem"/>
        <w:numPr>
          <w:ilvl w:val="0"/>
          <w:numId w:val="2"/>
        </w:numPr>
        <w:tabs>
          <w:tab w:val="num" w:pos="720"/>
        </w:tabs>
        <w:ind w:hanging="360"/>
        <w:jc w:val="both"/>
        <w:rPr>
          <w:rFonts w:hAnsi="Times New Roman" w:cs="Times New Roman"/>
          <w:noProof/>
        </w:rPr>
      </w:pPr>
      <w:r>
        <w:rPr>
          <w:rFonts w:hAnsi="Times New Roman" w:cs="Times New Roman"/>
          <w:noProof/>
        </w:rPr>
        <w:t>v případě potřeby přizpůsobit pravidla autorského práva nové realitě techniky, tak aby i nadále plnila svůj účel.</w:t>
      </w:r>
    </w:p>
    <w:p w:rsidR="009B25B5" w:rsidRDefault="000F1CFC">
      <w:pPr>
        <w:pStyle w:val="Body"/>
        <w:jc w:val="both"/>
        <w:rPr>
          <w:rFonts w:hAnsi="Times New Roman" w:cs="Times New Roman"/>
          <w:noProof/>
        </w:rPr>
      </w:pPr>
      <w:r>
        <w:rPr>
          <w:rFonts w:hAnsi="Times New Roman" w:cs="Times New Roman"/>
          <w:noProof/>
        </w:rPr>
        <w:t>Autorské právo a s ním související právní předpisy neplní své cíle izolovaně. Film, divadlo, hudba, literatura, vědecká díla, kulturní dědictví a ostatní evropská kreativní produkce budou dále vzkvétat a smysluplně přispívat k růstu Evropy, identitě a sociálním pokroku pouze tehdy, pokud kreativní odvětví budou konkurenceschopná a pokud budou existovat potřebné tržní mechanismy. K dosažení těchto cílů rovněž přispívají finanční a jiná podpůrná opatření veřejných orgánů, která jsou v souladu s právem hospodářské soutěže. Podpora poskytovaná ze strany EU zahrnuje program „Kreativní Evropa“ a financování výzkumu a inovací, zejména prostřednictvím programu „Horizont 2020“. Aby byla pravidla EU v oblasti autorského práva účinná, musí být aktualizována, řádně provedena, prosazována a musí být srozumitelná.</w:t>
      </w:r>
    </w:p>
    <w:p w:rsidR="009B25B5" w:rsidRDefault="000F1CFC">
      <w:pPr>
        <w:pStyle w:val="Heading"/>
        <w:rPr>
          <w:rFonts w:hAnsi="Times New Roman" w:cs="Times New Roman"/>
          <w:noProof/>
        </w:rPr>
      </w:pPr>
      <w:r>
        <w:rPr>
          <w:rFonts w:hAnsi="Times New Roman" w:cs="Times New Roman"/>
          <w:noProof/>
        </w:rPr>
        <w:lastRenderedPageBreak/>
        <w:t>2. Zajištění širšího přístupu k obsahu v celé EU</w:t>
      </w:r>
    </w:p>
    <w:p w:rsidR="009B25B5" w:rsidRDefault="000F1CFC">
      <w:pPr>
        <w:pStyle w:val="Body"/>
        <w:jc w:val="both"/>
        <w:rPr>
          <w:rFonts w:hAnsi="Times New Roman" w:cs="Times New Roman"/>
          <w:noProof/>
        </w:rPr>
      </w:pPr>
      <w:r>
        <w:rPr>
          <w:rFonts w:hAnsi="Times New Roman" w:cs="Times New Roman"/>
          <w:noProof/>
        </w:rPr>
        <w:t>EU by měla usilovat o širokou dostupnost on-line služeb poskytujících obsah „bez hranic“, aby spotřebitelům poskytovala větší možnosti volby a větší rozmanitost. Lepší fungování jednotného digitálního trhu poskytne rovněž příležitosti pro tvůrce a kulturní odvětví k rozšíření jejich publika a jejich podnikatelské činnosti a pomůže jim obstát v mezinárodní konkurenci.</w:t>
      </w:r>
    </w:p>
    <w:p w:rsidR="009B25B5" w:rsidRDefault="000F1CFC">
      <w:pPr>
        <w:pStyle w:val="Body"/>
        <w:jc w:val="both"/>
        <w:rPr>
          <w:rFonts w:hAnsi="Times New Roman" w:cs="Times New Roman"/>
          <w:noProof/>
        </w:rPr>
      </w:pPr>
      <w:r>
        <w:rPr>
          <w:rFonts w:hAnsi="Times New Roman" w:cs="Times New Roman"/>
          <w:noProof/>
        </w:rPr>
        <w:t>Pokud však jde o přeshraniční dostupnost obsahu chráněného autorským právem, není digitální jednotný trh dosud skutečností. Když občané cestují do jiného členského státu, nemají často přístup k obsahu, k jehož odběru se doma přihlásili nebo který doma získali (tj. obsah není „přenositelný“)</w:t>
      </w:r>
      <w:r>
        <w:rPr>
          <w:rStyle w:val="Znakapoznpodarou"/>
          <w:rFonts w:hAnsi="Times New Roman" w:cs="Times New Roman"/>
          <w:noProof/>
        </w:rPr>
        <w:footnoteReference w:id="10"/>
      </w:r>
      <w:r>
        <w:rPr>
          <w:rFonts w:hAnsi="Times New Roman" w:cs="Times New Roman"/>
          <w:noProof/>
        </w:rPr>
        <w:t>. Rozsah obsahu dostupného on-line v jedné zemi neodráží rozsah evropské kulturní produkce a legální nabídky evropských děl on-line zdaleka nedosahují svého plného potenciálu. To platí zejména pro evropská audiovizuální díla, jejichž šíření za hranice jednoho členského státu, včetně šíření on-line, je stále obtížné</w:t>
      </w:r>
      <w:r>
        <w:rPr>
          <w:rStyle w:val="Znakapoznpodarou"/>
          <w:rFonts w:hAnsi="Times New Roman" w:cs="Times New Roman"/>
          <w:noProof/>
        </w:rPr>
        <w:footnoteReference w:id="11"/>
      </w:r>
      <w:r>
        <w:rPr>
          <w:rFonts w:hAnsi="Times New Roman" w:cs="Times New Roman"/>
          <w:noProof/>
        </w:rPr>
        <w:t>. A pokud jsou díla dostupná, je pro uživatele obtížné se o nich dozvědět a vyhledat je. Uživatelé často nemají přístup ke službám pro šíření obsahu, které jsou dostupné v jiných členských státech</w:t>
      </w:r>
      <w:r>
        <w:rPr>
          <w:rStyle w:val="Znakapoznpodarou"/>
          <w:rFonts w:hAnsi="Times New Roman" w:cs="Times New Roman"/>
          <w:noProof/>
        </w:rPr>
        <w:footnoteReference w:id="12"/>
      </w:r>
      <w:r>
        <w:rPr>
          <w:rFonts w:hAnsi="Times New Roman" w:cs="Times New Roman"/>
          <w:noProof/>
        </w:rPr>
        <w:t>.</w:t>
      </w:r>
    </w:p>
    <w:p w:rsidR="009B25B5" w:rsidRDefault="000F1CFC">
      <w:pPr>
        <w:pStyle w:val="Body"/>
        <w:jc w:val="both"/>
        <w:rPr>
          <w:rFonts w:hAnsi="Times New Roman" w:cs="Times New Roman"/>
          <w:noProof/>
        </w:rPr>
      </w:pPr>
      <w:r>
        <w:rPr>
          <w:rFonts w:hAnsi="Times New Roman" w:cs="Times New Roman"/>
          <w:noProof/>
        </w:rPr>
        <w:t>Na internetu, který je ze své podstaty bez hranic, je to pro lidi nepochopitelné. Tato situace může vést k tomu, že si uživatelé zajistí přístup k obsahu, který nemohou doma nalézt, prostřednictvím technických „náhradních řešení“, jako jsou např. virtuální privátní sítě (VPN), a může podpořit pirátství</w:t>
      </w:r>
      <w:r>
        <w:rPr>
          <w:rStyle w:val="Znakapoznpodarou"/>
          <w:rFonts w:hAnsi="Times New Roman" w:cs="Times New Roman"/>
          <w:noProof/>
        </w:rPr>
        <w:footnoteReference w:id="13"/>
      </w:r>
      <w:r>
        <w:rPr>
          <w:rFonts w:hAnsi="Times New Roman" w:cs="Times New Roman"/>
          <w:noProof/>
        </w:rPr>
        <w:t>.</w:t>
      </w:r>
      <w:r>
        <w:rPr>
          <w:rFonts w:hAnsi="Times New Roman" w:cs="Times New Roman"/>
          <w:i/>
          <w:noProof/>
        </w:rPr>
        <w:t xml:space="preserve"> </w:t>
      </w:r>
      <w:r>
        <w:rPr>
          <w:rFonts w:hAnsi="Times New Roman" w:cs="Times New Roman"/>
          <w:noProof/>
        </w:rPr>
        <w:t>Dalším dokladem současné situace je počet děl, která by měla prospěch z většího šíření v celé EU, avšak která nelze získat prostřednictvím žádného obchodního distribučního kanálu.</w:t>
      </w:r>
    </w:p>
    <w:p w:rsidR="009B25B5" w:rsidRDefault="000F1CFC">
      <w:pPr>
        <w:pStyle w:val="Body"/>
        <w:jc w:val="both"/>
        <w:rPr>
          <w:rFonts w:hAnsi="Times New Roman" w:cs="Times New Roman"/>
          <w:noProof/>
        </w:rPr>
      </w:pPr>
      <w:r>
        <w:rPr>
          <w:rFonts w:hAnsi="Times New Roman" w:cs="Times New Roman"/>
          <w:noProof/>
        </w:rPr>
        <w:t>Tato situace má více příčin. Částečně je to možné přičíst autorskému právu a jeho územní</w:t>
      </w:r>
      <w:r>
        <w:rPr>
          <w:rStyle w:val="Znakapoznpodarou"/>
          <w:rFonts w:hAnsi="Times New Roman" w:cs="Times New Roman"/>
          <w:noProof/>
        </w:rPr>
        <w:footnoteReference w:id="14"/>
      </w:r>
      <w:r>
        <w:rPr>
          <w:rFonts w:hAnsi="Times New Roman" w:cs="Times New Roman"/>
          <w:noProof/>
        </w:rPr>
        <w:t xml:space="preserve"> působnosti. Teritorialita práv nebrání udělování licencí pro více území</w:t>
      </w:r>
      <w:r>
        <w:rPr>
          <w:rStyle w:val="Znakapoznpodarou"/>
          <w:rFonts w:hAnsi="Times New Roman" w:cs="Times New Roman"/>
          <w:noProof/>
        </w:rPr>
        <w:footnoteReference w:id="15"/>
      </w:r>
      <w:r>
        <w:rPr>
          <w:rFonts w:hAnsi="Times New Roman" w:cs="Times New Roman"/>
          <w:noProof/>
        </w:rPr>
        <w:t xml:space="preserve">, avšak existují případy, kdy je získání licence obtížné či nemožné. Nositelé práv se mohou rozhodnout </w:t>
      </w:r>
      <w:r>
        <w:rPr>
          <w:rFonts w:hAnsi="Times New Roman" w:cs="Times New Roman"/>
          <w:noProof/>
        </w:rPr>
        <w:lastRenderedPageBreak/>
        <w:t xml:space="preserve">omezit územní působnost licencí udělených poskytovatelům služeb, a v důsledku toho jsou služby omezeny na jedno nebo pouze některá území. Rovněž poskytovatelé služeb se mohou rozhodnout, že službu omezí na určité území, a to i tehdy, pokud jejich licence pokrývá širší území, včetně celého území EU, nebo pokud mají takovou licenci k dispozici. Nabyté licence, zejména v oblasti internetových práv, navíc mohou zůstat nevyužity. </w:t>
      </w:r>
    </w:p>
    <w:p w:rsidR="009B25B5" w:rsidRDefault="000F1CFC">
      <w:pPr>
        <w:pStyle w:val="Body"/>
        <w:jc w:val="both"/>
        <w:rPr>
          <w:rFonts w:hAnsi="Times New Roman" w:cs="Times New Roman"/>
          <w:noProof/>
        </w:rPr>
      </w:pPr>
      <w:r>
        <w:rPr>
          <w:rFonts w:hAnsi="Times New Roman" w:cs="Times New Roman"/>
          <w:noProof/>
        </w:rPr>
        <w:t>Financování nové evropské produkce v audiovizuálním odvětví je do značné míry založeno na udělování licencí pro jednotlivá území v kombinaci s územní exkluzivitou udělovanou jednotlivým distributorům nebo poskytovatelům služeb. To je evropským audiovizuálním odvětvím považováno za nutné pro zachování udržitelného financování, avšak může to zabránit poskytovatelům služeb a distributorům v poskytování přeshraniční „přenositelnosti“ služeb nebo v nabízení jejich služeb v jiných členských státech. Pokud jde o díla na trhu nedostupná, právní problémy, které mají dopad na přeshraniční dostupnost, zhoršují obecnější potíže s licencemi pro digitalizaci těchto děl a pro jejich zpřístupnění na domácím trhu. To omezuje dostupnost kulturního dědictví on-line.</w:t>
      </w:r>
    </w:p>
    <w:p w:rsidR="009B25B5" w:rsidRDefault="000F1CFC">
      <w:pPr>
        <w:pStyle w:val="Body"/>
        <w:jc w:val="both"/>
        <w:rPr>
          <w:rFonts w:hAnsi="Times New Roman" w:cs="Times New Roman"/>
          <w:noProof/>
        </w:rPr>
      </w:pPr>
      <w:r>
        <w:rPr>
          <w:rFonts w:hAnsi="Times New Roman" w:cs="Times New Roman"/>
          <w:noProof/>
        </w:rPr>
        <w:t>Pokud jde o televizní a rozhlasové vysílání, směrnice o družicovém vysílání a kabelovém přenosu</w:t>
      </w:r>
      <w:r>
        <w:rPr>
          <w:rStyle w:val="Znakapoznpodarou"/>
          <w:rFonts w:hAnsi="Times New Roman" w:cs="Times New Roman"/>
          <w:noProof/>
        </w:rPr>
        <w:footnoteReference w:id="16"/>
      </w:r>
      <w:r>
        <w:rPr>
          <w:rFonts w:hAnsi="Times New Roman" w:cs="Times New Roman"/>
          <w:noProof/>
        </w:rPr>
        <w:t xml:space="preserve"> již zahrnuje pravidla, jejichž cílem je usnadnit vypořádávání práv vyžadované pro některé přeshraniční činnosti. Tato pravidla byla vypracována ještě před nástupem internetu jako distribučního kanálu pro provozovatele vysílání a vztahují se pouze na družicové vysílání a kabelové přenosy. Komise v současné době provádí přezkum této směrnice s ohledem na její možné použití v on-line prostředí. </w:t>
      </w:r>
    </w:p>
    <w:p w:rsidR="009B25B5" w:rsidRDefault="000F1CFC">
      <w:pPr>
        <w:pStyle w:val="Body"/>
        <w:jc w:val="both"/>
        <w:rPr>
          <w:rFonts w:hAnsi="Times New Roman" w:cs="Times New Roman"/>
          <w:i/>
          <w:iCs/>
          <w:noProof/>
        </w:rPr>
      </w:pPr>
      <w:r>
        <w:rPr>
          <w:rFonts w:hAnsi="Times New Roman" w:cs="Times New Roman"/>
          <w:noProof/>
        </w:rPr>
        <w:t>Roli hrají i další faktory: Například v audiovizuálním odvětví hraje klíčovou roli připravenost děl na trh, tj. jejich viditelnost pro potenciální nositele licencí, jednoduchost poskytování licencí a jejich dostupnost ve formátech a katalozích, které jsou připraveny k použití. Další otázkou je rozdíl mezi nabídkami obsahu a jejich skutečným využitím potenciálním publikem. V první řadě musí být pro spotřebitele snadné se o dílech dozvědět a nalézt je</w:t>
      </w:r>
      <w:r>
        <w:rPr>
          <w:rStyle w:val="Znakapoznpodarou"/>
          <w:rFonts w:hAnsi="Times New Roman" w:cs="Times New Roman"/>
          <w:noProof/>
        </w:rPr>
        <w:footnoteReference w:id="17"/>
      </w:r>
      <w:r>
        <w:rPr>
          <w:rFonts w:hAnsi="Times New Roman" w:cs="Times New Roman"/>
          <w:noProof/>
        </w:rPr>
        <w:t xml:space="preserve">, i když jsou již šířena on-line, a musí být srozumitelná, tj. ve známém jazyce. Obecně existuje nesoulad mezi zdroji podporujícími kulturně rozmanitou </w:t>
      </w:r>
      <w:r>
        <w:rPr>
          <w:rFonts w:hAnsi="Times New Roman" w:cs="Times New Roman"/>
          <w:i/>
          <w:noProof/>
        </w:rPr>
        <w:t xml:space="preserve">produkci </w:t>
      </w:r>
      <w:r>
        <w:rPr>
          <w:rFonts w:hAnsi="Times New Roman" w:cs="Times New Roman"/>
          <w:noProof/>
        </w:rPr>
        <w:t>a úsilím investovaným do jejich</w:t>
      </w:r>
      <w:r>
        <w:rPr>
          <w:rFonts w:hAnsi="Times New Roman" w:cs="Times New Roman"/>
          <w:i/>
          <w:noProof/>
        </w:rPr>
        <w:t xml:space="preserve"> šíření</w:t>
      </w:r>
      <w:r>
        <w:rPr>
          <w:rFonts w:hAnsi="Times New Roman" w:cs="Times New Roman"/>
          <w:noProof/>
        </w:rPr>
        <w:t xml:space="preserve"> a </w:t>
      </w:r>
      <w:r>
        <w:rPr>
          <w:rFonts w:hAnsi="Times New Roman" w:cs="Times New Roman"/>
          <w:i/>
          <w:noProof/>
        </w:rPr>
        <w:t>zpřístupnění</w:t>
      </w:r>
      <w:r>
        <w:rPr>
          <w:rStyle w:val="Znakapoznpodarou"/>
          <w:rFonts w:hAnsi="Times New Roman" w:cs="Times New Roman"/>
          <w:noProof/>
        </w:rPr>
        <w:footnoteReference w:id="18"/>
      </w:r>
      <w:r>
        <w:rPr>
          <w:rFonts w:hAnsi="Times New Roman" w:cs="Times New Roman"/>
          <w:noProof/>
        </w:rPr>
        <w:t>.</w:t>
      </w:r>
    </w:p>
    <w:p w:rsidR="009B25B5" w:rsidRDefault="000F1CFC">
      <w:pPr>
        <w:pStyle w:val="Body"/>
        <w:widowControl w:val="0"/>
        <w:jc w:val="both"/>
        <w:rPr>
          <w:rFonts w:hAnsi="Times New Roman" w:cs="Times New Roman"/>
          <w:noProof/>
        </w:rPr>
      </w:pPr>
      <w:r>
        <w:rPr>
          <w:rFonts w:hAnsi="Times New Roman" w:cs="Times New Roman"/>
          <w:noProof/>
        </w:rPr>
        <w:t xml:space="preserve">Zajištění širšího přístup ke kreativnímu obsahu on-line a podpora jeho šíření v Evropě proto spočívá v kombinaci široké škály politických nástrojů. Společně s přezkumem stávajících právních předpisů v oblasti autorského práva může hrát roli také podpora, kterou EU poskytuje prostřednictvím programu „Kreativní Evropa“ a výzkumných a inovačních programů. Při rozšiřování dostupnosti obsahu na úrovni EU bude mít zásadní význam zapojení kreativních a distribučních odvětví a členských států. Kreativní a distribuční odvětví mají v rukou klíč pro rozvoj obchodních modelů, zatímco členské státy jsou odpovědné především za kulturní politiky v EU. Členské státy rovněž stanovují a spravují většinu veřejných prostředků ve výši 2,1 miliardy EUR ročně určených na přímou podporu </w:t>
      </w:r>
      <w:r>
        <w:rPr>
          <w:rFonts w:hAnsi="Times New Roman" w:cs="Times New Roman"/>
          <w:noProof/>
        </w:rPr>
        <w:lastRenderedPageBreak/>
        <w:t>evropského audiovizuálního odvětví</w:t>
      </w:r>
      <w:r>
        <w:rPr>
          <w:rStyle w:val="Znakapoznpodarou"/>
          <w:rFonts w:hAnsi="Times New Roman" w:cs="Times New Roman"/>
          <w:noProof/>
        </w:rPr>
        <w:footnoteReference w:id="19"/>
      </w:r>
      <w:r>
        <w:rPr>
          <w:rFonts w:hAnsi="Times New Roman" w:cs="Times New Roman"/>
          <w:noProof/>
        </w:rPr>
        <w:t>.</w:t>
      </w:r>
    </w:p>
    <w:tbl>
      <w:tblPr>
        <w:tblStyle w:val="Mkatabulky"/>
        <w:tblW w:w="0" w:type="auto"/>
        <w:shd w:val="pct15" w:color="auto" w:fill="auto"/>
        <w:tblLook w:val="04A0" w:firstRow="1" w:lastRow="0" w:firstColumn="1" w:lastColumn="0" w:noHBand="0" w:noVBand="1"/>
      </w:tblPr>
      <w:tblGrid>
        <w:gridCol w:w="9282"/>
      </w:tblGrid>
      <w:tr w:rsidR="009B25B5">
        <w:tc>
          <w:tcPr>
            <w:tcW w:w="9282" w:type="dxa"/>
            <w:shd w:val="pct15" w:color="auto" w:fill="auto"/>
          </w:tcPr>
          <w:p w:rsidR="009B25B5" w:rsidRDefault="000F1CFC">
            <w:pPr>
              <w:spacing w:after="200"/>
              <w:jc w:val="both"/>
              <w:rPr>
                <w:noProof/>
                <w:sz w:val="24"/>
                <w:szCs w:val="24"/>
              </w:rPr>
            </w:pPr>
            <w:r>
              <w:rPr>
                <w:noProof/>
                <w:sz w:val="24"/>
              </w:rPr>
              <w:t>Konečný cíl plného přeshraničního přístupu ke všem typům obsahu v celé Evropě musí být v souladu s připraveností trhů reagovat rychle na právní a politické změny a s potřebou zajistit životaschopné modely financování pro subjekty, které jsou v první řadě odpovědné za tvorbu obsahu. Komise proto navrhuje postupné odstranění překážek přeshraničního přístupu k obsahu a šíření děl.</w:t>
            </w:r>
          </w:p>
          <w:p w:rsidR="009B25B5" w:rsidRDefault="000F1CFC">
            <w:pPr>
              <w:spacing w:after="200"/>
              <w:jc w:val="both"/>
              <w:rPr>
                <w:noProof/>
                <w:sz w:val="24"/>
                <w:szCs w:val="24"/>
              </w:rPr>
            </w:pPr>
            <w:r>
              <w:rPr>
                <w:noProof/>
                <w:sz w:val="24"/>
              </w:rPr>
              <w:t>Jako první krok Komise předkládá spolu s tímto sdělením návrh nařízení týkajícího se </w:t>
            </w:r>
            <w:r>
              <w:rPr>
                <w:b/>
                <w:noProof/>
                <w:sz w:val="24"/>
              </w:rPr>
              <w:t>„přenositelnosti“</w:t>
            </w:r>
            <w:r>
              <w:rPr>
                <w:noProof/>
                <w:sz w:val="24"/>
              </w:rPr>
              <w:t xml:space="preserve"> on-line služeb poskytujících obsah, aby zajistila, že uživatelé, kteří mají ve své domovské zemi předplacený přístup k obsahu nebo tam obsah získali, měli k tomuto obsahu přístup i tehdy, když dočasně pobývají v jiném členském státě.</w:t>
            </w:r>
          </w:p>
          <w:p w:rsidR="009B25B5" w:rsidRDefault="000F1CFC">
            <w:pPr>
              <w:jc w:val="both"/>
              <w:rPr>
                <w:noProof/>
                <w:sz w:val="24"/>
                <w:szCs w:val="24"/>
              </w:rPr>
            </w:pPr>
            <w:r>
              <w:rPr>
                <w:noProof/>
                <w:sz w:val="24"/>
              </w:rPr>
              <w:t>Dále Komise za účelem zajištění širšího on-line přístupu k dílům uživatelům v celé EU posuzuje možnosti a zváží legislativní návrhy, které by měly být přijaty na jaře roku 2016, mimo jiné v těchto oblastech:</w:t>
            </w:r>
          </w:p>
          <w:p w:rsidR="009B25B5" w:rsidRDefault="000F1CFC">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hAnsi="Times New Roman" w:cs="Times New Roman"/>
                <w:noProof/>
              </w:rPr>
            </w:pPr>
            <w:r>
              <w:rPr>
                <w:rFonts w:hAnsi="Times New Roman" w:cs="Times New Roman"/>
                <w:noProof/>
              </w:rPr>
              <w:t>posílení</w:t>
            </w:r>
            <w:r>
              <w:rPr>
                <w:rFonts w:hAnsi="Times New Roman" w:cs="Times New Roman"/>
                <w:b/>
                <w:noProof/>
              </w:rPr>
              <w:t xml:space="preserve"> přeshraničního on-line šíření televizních a rozhlasových pořadů </w:t>
            </w:r>
            <w:r>
              <w:rPr>
                <w:rFonts w:hAnsi="Times New Roman" w:cs="Times New Roman"/>
                <w:noProof/>
              </w:rPr>
              <w:t>v souvislosti s výsledky přezkumu směrnice o družicovém vysílání a kabelovém přenosu,</w:t>
            </w:r>
          </w:p>
          <w:p w:rsidR="009B25B5" w:rsidRDefault="000F1CF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noProof/>
                <w:sz w:val="24"/>
                <w:szCs w:val="24"/>
              </w:rPr>
            </w:pPr>
            <w:r>
              <w:rPr>
                <w:noProof/>
                <w:color w:val="000000"/>
                <w:sz w:val="24"/>
              </w:rPr>
              <w:t>podpora nositelů práv a distributorů za účelem dosažení dohody ohledně</w:t>
            </w:r>
            <w:r>
              <w:rPr>
                <w:b/>
                <w:noProof/>
                <w:color w:val="000000"/>
                <w:sz w:val="24"/>
              </w:rPr>
              <w:t xml:space="preserve"> licencí, které umožňují přeshraniční přístup k obsahu, včetně uspokojení přeshraničních žádostí z jiných členských států</w:t>
            </w:r>
            <w:r>
              <w:rPr>
                <w:noProof/>
                <w:color w:val="000000"/>
                <w:sz w:val="24"/>
              </w:rPr>
              <w:t>, což je v zájmu evropských občanů i zúčastněných stran v audiovizuálním řetězci. V této souvislosti bude zvážena úloha zprostředkování nebo podobných mechanismů alternativního řešení sporů za účelem podpory při udělování těchto licencí,</w:t>
            </w:r>
          </w:p>
          <w:p w:rsidR="009B25B5" w:rsidRDefault="000F1CFC">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hAnsi="Times New Roman" w:cs="Times New Roman"/>
                <w:noProof/>
              </w:rPr>
            </w:pPr>
            <w:r>
              <w:rPr>
                <w:rFonts w:hAnsi="Times New Roman" w:cs="Times New Roman"/>
                <w:noProof/>
              </w:rPr>
              <w:t xml:space="preserve">usnadnění digitalizace </w:t>
            </w:r>
            <w:r>
              <w:rPr>
                <w:rFonts w:hAnsi="Times New Roman" w:cs="Times New Roman"/>
                <w:b/>
                <w:noProof/>
              </w:rPr>
              <w:t>děl na trhu nedostupných</w:t>
            </w:r>
            <w:r>
              <w:rPr>
                <w:rFonts w:hAnsi="Times New Roman" w:cs="Times New Roman"/>
                <w:noProof/>
              </w:rPr>
              <w:t xml:space="preserve"> a jejich zpřístupnění, a to také v celé EU.</w:t>
            </w:r>
            <w:r>
              <w:rPr>
                <w:rStyle w:val="Znakapoznpodarou"/>
                <w:rFonts w:hAnsi="Times New Roman" w:cs="Times New Roman"/>
                <w:noProof/>
              </w:rPr>
              <w:t xml:space="preserve"> </w:t>
            </w:r>
          </w:p>
          <w:p w:rsidR="009B25B5" w:rsidRDefault="000F1CFC">
            <w:pPr>
              <w:jc w:val="both"/>
              <w:rPr>
                <w:noProof/>
                <w:sz w:val="24"/>
                <w:szCs w:val="24"/>
              </w:rPr>
            </w:pPr>
            <w:r>
              <w:rPr>
                <w:noProof/>
                <w:sz w:val="24"/>
              </w:rPr>
              <w:t xml:space="preserve">Komise rovněž prostřednictvím programu „Kreativní Evropa“ a dalších politických nástrojů: </w:t>
            </w:r>
          </w:p>
          <w:p w:rsidR="009B25B5" w:rsidRDefault="000F1CFC">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hAnsi="Times New Roman" w:cs="Times New Roman"/>
                <w:noProof/>
              </w:rPr>
            </w:pPr>
            <w:r>
              <w:rPr>
                <w:rFonts w:hAnsi="Times New Roman" w:cs="Times New Roman"/>
                <w:noProof/>
              </w:rPr>
              <w:t xml:space="preserve">podpoří nástroje, které na jednotný trh přinesou více evropských děl, včetně tvorby </w:t>
            </w:r>
            <w:r>
              <w:rPr>
                <w:rFonts w:hAnsi="Times New Roman" w:cs="Times New Roman"/>
                <w:b/>
                <w:noProof/>
              </w:rPr>
              <w:t>katalogů připravených k použití</w:t>
            </w:r>
            <w:r>
              <w:rPr>
                <w:rFonts w:hAnsi="Times New Roman" w:cs="Times New Roman"/>
                <w:noProof/>
              </w:rPr>
              <w:t xml:space="preserve"> pro evropské filmy, rozvoj </w:t>
            </w:r>
            <w:r>
              <w:rPr>
                <w:rFonts w:hAnsi="Times New Roman" w:cs="Times New Roman"/>
                <w:b/>
                <w:noProof/>
              </w:rPr>
              <w:t>center pro udělování licencí</w:t>
            </w:r>
            <w:r>
              <w:rPr>
                <w:rFonts w:hAnsi="Times New Roman" w:cs="Times New Roman"/>
                <w:noProof/>
              </w:rPr>
              <w:t xml:space="preserve"> (na podporu udělování licencí k dílům, která nejsou v daném členském státě dosud dostupná) a širší využití </w:t>
            </w:r>
            <w:r>
              <w:rPr>
                <w:rFonts w:hAnsi="Times New Roman" w:cs="Times New Roman"/>
                <w:b/>
                <w:noProof/>
              </w:rPr>
              <w:t>standardních bibliografických označení děl</w:t>
            </w:r>
            <w:r>
              <w:rPr>
                <w:rFonts w:hAnsi="Times New Roman" w:cs="Times New Roman"/>
                <w:noProof/>
              </w:rPr>
              <w:t xml:space="preserve"> (mimo jiné prověřením propojení s dílčím programem MEDIA),</w:t>
            </w:r>
          </w:p>
          <w:p w:rsidR="009B25B5" w:rsidRDefault="000F1CFC">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hAnsi="Times New Roman" w:cs="Times New Roman"/>
                <w:noProof/>
              </w:rPr>
            </w:pPr>
            <w:r>
              <w:rPr>
                <w:rFonts w:hAnsi="Times New Roman" w:cs="Times New Roman"/>
                <w:noProof/>
              </w:rPr>
              <w:t xml:space="preserve">podpoří rozvoj evropského </w:t>
            </w:r>
            <w:r>
              <w:rPr>
                <w:rFonts w:hAnsi="Times New Roman" w:cs="Times New Roman"/>
                <w:b/>
                <w:noProof/>
              </w:rPr>
              <w:t>agregátoru vyhledávacích nástrojů on-line</w:t>
            </w:r>
            <w:r>
              <w:rPr>
                <w:rStyle w:val="Znakapoznpodarou"/>
                <w:rFonts w:hAnsi="Times New Roman" w:cs="Times New Roman"/>
                <w:noProof/>
              </w:rPr>
              <w:footnoteReference w:id="20"/>
            </w:r>
            <w:r>
              <w:rPr>
                <w:rFonts w:hAnsi="Times New Roman" w:cs="Times New Roman"/>
                <w:noProof/>
              </w:rPr>
              <w:t xml:space="preserve"> určených pro koncové uživatele (on-line indexace dostupných legálních nabídek) a vnitrostátních vyhledávacích nástrojů a </w:t>
            </w:r>
            <w:r>
              <w:rPr>
                <w:rFonts w:hAnsi="Times New Roman" w:cs="Times New Roman"/>
                <w:b/>
                <w:noProof/>
              </w:rPr>
              <w:t>účinnější způsoby financování a využívání titulků a dabingu</w:t>
            </w:r>
            <w:r>
              <w:rPr>
                <w:rFonts w:hAnsi="Times New Roman" w:cs="Times New Roman"/>
                <w:noProof/>
              </w:rPr>
              <w:t xml:space="preserve"> s podporou z veřejných zdrojů,  </w:t>
            </w:r>
          </w:p>
          <w:p w:rsidR="009B25B5" w:rsidRDefault="000F1CFC">
            <w:pPr>
              <w:pStyle w:val="Odstavecseseznamem"/>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jc w:val="both"/>
              <w:rPr>
                <w:rFonts w:hAnsi="Times New Roman" w:cs="Times New Roman"/>
                <w:noProof/>
              </w:rPr>
            </w:pPr>
            <w:r>
              <w:rPr>
                <w:rFonts w:hAnsi="Times New Roman" w:cs="Times New Roman"/>
                <w:noProof/>
              </w:rPr>
              <w:t xml:space="preserve">posílí </w:t>
            </w:r>
            <w:r>
              <w:rPr>
                <w:rFonts w:hAnsi="Times New Roman" w:cs="Times New Roman"/>
                <w:b/>
                <w:noProof/>
              </w:rPr>
              <w:t>dialog s audiovizuálním odvětvím</w:t>
            </w:r>
            <w:r>
              <w:rPr>
                <w:rFonts w:hAnsi="Times New Roman" w:cs="Times New Roman"/>
                <w:noProof/>
              </w:rPr>
              <w:t xml:space="preserve"> za účelem podpory legálních nabídek, a aby pro spotřebitele bylo snadné se o filmech dozvědět a nalézt je (v rámci nového partnerství s vnitrostátními filmovými fondy), nalezení způsobů </w:t>
            </w:r>
            <w:r>
              <w:rPr>
                <w:rFonts w:hAnsi="Times New Roman" w:cs="Times New Roman"/>
                <w:b/>
                <w:noProof/>
              </w:rPr>
              <w:t>udržitelnějšího využívání stávajících evropských filmů</w:t>
            </w:r>
            <w:r>
              <w:rPr>
                <w:rFonts w:hAnsi="Times New Roman" w:cs="Times New Roman"/>
                <w:noProof/>
              </w:rPr>
              <w:t xml:space="preserve"> (s Evropským filmovým fórem) a prozkoumání alternativních modelů financování, produkce a distribuce v </w:t>
            </w:r>
            <w:r>
              <w:rPr>
                <w:rFonts w:hAnsi="Times New Roman" w:cs="Times New Roman"/>
                <w:b/>
                <w:noProof/>
              </w:rPr>
              <w:t>odvětví animace, které jsou rozšiřitelné na evropskou úroveň</w:t>
            </w:r>
            <w:r>
              <w:rPr>
                <w:rFonts w:hAnsi="Times New Roman" w:cs="Times New Roman"/>
                <w:noProof/>
              </w:rPr>
              <w:t xml:space="preserve"> (</w:t>
            </w:r>
            <w:r>
              <w:rPr>
                <w:rFonts w:hAnsi="Times New Roman" w:cs="Times New Roman"/>
                <w:b/>
                <w:noProof/>
              </w:rPr>
              <w:t>ve strukturovaném fóru pro spolupráci s odvětvím</w:t>
            </w:r>
            <w:r>
              <w:rPr>
                <w:rFonts w:hAnsi="Times New Roman" w:cs="Times New Roman"/>
                <w:noProof/>
              </w:rPr>
              <w:t>).</w:t>
            </w:r>
          </w:p>
        </w:tc>
      </w:tr>
    </w:tbl>
    <w:p w:rsidR="009B25B5" w:rsidRDefault="009B25B5">
      <w:pPr>
        <w:pStyle w:val="Body"/>
        <w:widowControl w:val="0"/>
        <w:jc w:val="both"/>
        <w:rPr>
          <w:rFonts w:hAnsi="Times New Roman" w:cs="Times New Roman"/>
          <w:noProof/>
        </w:rPr>
      </w:pPr>
    </w:p>
    <w:p w:rsidR="009B25B5" w:rsidRDefault="000F1CFC">
      <w:pPr>
        <w:pStyle w:val="Heading"/>
        <w:rPr>
          <w:rFonts w:hAnsi="Times New Roman" w:cs="Times New Roman"/>
          <w:noProof/>
        </w:rPr>
      </w:pPr>
      <w:r>
        <w:rPr>
          <w:rFonts w:hAnsi="Times New Roman" w:cs="Times New Roman"/>
          <w:noProof/>
        </w:rPr>
        <w:t>3. Přizpůsobení výjimek digitálnímu a přeshraničnímu prostředí</w:t>
      </w:r>
    </w:p>
    <w:p w:rsidR="009B25B5" w:rsidRDefault="000F1CFC">
      <w:pPr>
        <w:pStyle w:val="Body"/>
        <w:widowControl w:val="0"/>
        <w:jc w:val="both"/>
        <w:rPr>
          <w:rFonts w:hAnsi="Times New Roman" w:cs="Times New Roman"/>
          <w:noProof/>
        </w:rPr>
      </w:pPr>
      <w:r>
        <w:rPr>
          <w:rFonts w:hAnsi="Times New Roman" w:cs="Times New Roman"/>
          <w:noProof/>
        </w:rPr>
        <w:t>Roztříštěnost pravidel v oblasti autorského práva v EU je zvláště viditelná v oblasti výjimek. U výjimek stanovených v právních předpisech EU se ve většině případů mohou členské státy rozhodnout, zda je provedou, či nikoliv.</w:t>
      </w:r>
      <w:r>
        <w:rPr>
          <w:rStyle w:val="Znakapoznpodarou"/>
          <w:rFonts w:hAnsi="Times New Roman" w:cs="Times New Roman"/>
          <w:noProof/>
        </w:rPr>
        <w:footnoteReference w:id="21"/>
      </w:r>
      <w:r>
        <w:rPr>
          <w:rFonts w:hAnsi="Times New Roman" w:cs="Times New Roman"/>
          <w:noProof/>
        </w:rPr>
        <w:t xml:space="preserve"> Výjimky nejsou často vymezeny podrobně. V důsledku toho se může stát, že výjimka v právních předpisech jednoho členského státu v sousedním státě neexistuje či se na ni vztahují jiné podmínky nebo má jiný rozsah. V některých případech je provedení dané výjimky v právních předpisech členských států užší, než dovolují právní předpisy EU</w:t>
      </w:r>
      <w:r>
        <w:rPr>
          <w:rStyle w:val="Znakapoznpodarou"/>
          <w:rFonts w:hAnsi="Times New Roman" w:cs="Times New Roman"/>
          <w:noProof/>
        </w:rPr>
        <w:footnoteReference w:id="22"/>
      </w:r>
      <w:r>
        <w:rPr>
          <w:rFonts w:hAnsi="Times New Roman" w:cs="Times New Roman"/>
          <w:noProof/>
        </w:rPr>
        <w:t xml:space="preserve">. Většina výjimek není účinná mimo daný členský stát. Některé z nich bude možná nutné vzhledem k dnešnímu stavu techniky přehodnotit. </w:t>
      </w:r>
    </w:p>
    <w:p w:rsidR="009B25B5" w:rsidRDefault="000F1CFC">
      <w:pPr>
        <w:pStyle w:val="Body"/>
        <w:jc w:val="both"/>
        <w:rPr>
          <w:rFonts w:hAnsi="Times New Roman" w:cs="Times New Roman"/>
          <w:noProof/>
        </w:rPr>
      </w:pPr>
      <w:r>
        <w:rPr>
          <w:rFonts w:hAnsi="Times New Roman" w:cs="Times New Roman"/>
          <w:noProof/>
        </w:rPr>
        <w:t>Zdá se, že tato situace představuje problém zejména u výjimek, které jsou úzce spojeny se vzděláváním, výzkumem a přístupem ke znalostem. Výjimka EU týkající se ilustračního účelu při vyučování je dobrým příkladem, jak členské státy provádějí výjimky různým způsobem, zvláště pokud jde o to, jak členské státy chápou používání výjimek v digitálním prostředí. Tyto rozdíly mohou brzdit vzdělávací trendy, jako například on-line kurzy, využívání technologií a digitálních materiálů v učebnách a přeshraniční učení, které se v posledních letech značně rozšířily</w:t>
      </w:r>
      <w:r>
        <w:rPr>
          <w:rStyle w:val="Znakapoznpodarou"/>
          <w:rFonts w:hAnsi="Times New Roman" w:cs="Times New Roman"/>
          <w:noProof/>
        </w:rPr>
        <w:footnoteReference w:id="23"/>
      </w:r>
      <w:r>
        <w:rPr>
          <w:rFonts w:hAnsi="Times New Roman" w:cs="Times New Roman"/>
          <w:noProof/>
        </w:rPr>
        <w:t>. Navíc různorodá vnitrostátní provedení výjimky označované obvykle jako „výjimka o panoramatu“, která umožňuje lidem pořizovat a ukládat fotografie děl, například budov, trvale umístěných ve veřejném prostoru, mohou vyvolávat nejistoty.</w:t>
      </w:r>
    </w:p>
    <w:p w:rsidR="009B25B5" w:rsidRDefault="000F1CFC">
      <w:pPr>
        <w:pStyle w:val="Body"/>
        <w:jc w:val="both"/>
        <w:rPr>
          <w:rFonts w:hAnsi="Times New Roman" w:cs="Times New Roman"/>
          <w:noProof/>
        </w:rPr>
      </w:pPr>
      <w:r>
        <w:rPr>
          <w:rFonts w:hAnsi="Times New Roman" w:cs="Times New Roman"/>
          <w:noProof/>
        </w:rPr>
        <w:t>Podobně vyvolávají problémy nepovinná povaha a chybějící přeshraniční rozměr výjimky pro osoby se zdravotním postižením. Například ztěžují osobám s poruchami čtení přístup ke zvláštním formátům, které byly vytvořeny na základě výjimky z autorského práva jiného členského státu. EU přijala za účelem řešení této otázky mezinárodní závazek podepsáním Marrákešské smlouvy</w:t>
      </w:r>
      <w:r>
        <w:rPr>
          <w:rStyle w:val="Znakapoznpodarou"/>
          <w:rFonts w:hAnsi="Times New Roman" w:cs="Times New Roman"/>
          <w:noProof/>
        </w:rPr>
        <w:footnoteReference w:id="24"/>
      </w:r>
      <w:r>
        <w:rPr>
          <w:rFonts w:hAnsi="Times New Roman" w:cs="Times New Roman"/>
          <w:noProof/>
        </w:rPr>
        <w:t>, která musí být nyní ratifikována a provedena.</w:t>
      </w:r>
    </w:p>
    <w:p w:rsidR="009B25B5" w:rsidRDefault="000F1CFC">
      <w:pPr>
        <w:pStyle w:val="Body"/>
        <w:widowControl w:val="0"/>
        <w:jc w:val="both"/>
        <w:rPr>
          <w:rFonts w:hAnsi="Times New Roman" w:cs="Times New Roman"/>
          <w:noProof/>
        </w:rPr>
      </w:pPr>
      <w:r>
        <w:rPr>
          <w:rFonts w:hAnsi="Times New Roman" w:cs="Times New Roman"/>
          <w:noProof/>
        </w:rPr>
        <w:t xml:space="preserve">Potřeba lepšího zohlednění technologického pokroku a zabránění nerovnoměrným situacím na jednotném trhu se jasně projevuje také v oblasti tzv. „vytěžování textů a údajů“, při němž je v rámci vědy a výzkumu strojově čteno a analyzováno velké množství digitálního obsahu. Neexistence jednoznačných právních předpisů EU týkající se vytěžování textů a údajů pro účely vědeckého výzkumu vytváří ve výzkumné obci nejistoty. To poškozuje </w:t>
      </w:r>
      <w:r>
        <w:rPr>
          <w:rFonts w:hAnsi="Times New Roman" w:cs="Times New Roman"/>
          <w:noProof/>
        </w:rPr>
        <w:lastRenderedPageBreak/>
        <w:t>konkurenceschopnost EU a její vedoucí postavení v oblasti vědy v době, kdy jsou výzkumné a inovační činnosti v EU vzhledem k velkým společenským výzvám, kterými se zabývají, stále více odkázány na přeshraniční a mezioborovou spolupráci. Podobně výjimka EU, která povoluje knihovnám a ostatním institucím prohlížení děl na obrazovce pro výzkumné a soukromé studijní účely, se vztahuje pouze na terminály ve fyzických prostorách knihoven a nezohledňuje současné technologické možnosti dálkového přístupu. Je nutné upozornit rovněž na výjimku EU týkající se činností organizací k zachování kulturního dědictví, zejména proto, že členské státy často neberou při provádění výjimky na vnitrostátní úrovni ohled na digitální formáty</w:t>
      </w:r>
      <w:r>
        <w:rPr>
          <w:rStyle w:val="Znakapoznpodarou"/>
          <w:rFonts w:hAnsi="Times New Roman" w:cs="Times New Roman"/>
          <w:noProof/>
        </w:rPr>
        <w:footnoteReference w:id="25"/>
      </w:r>
      <w:r>
        <w:rPr>
          <w:rFonts w:hAnsi="Times New Roman" w:cs="Times New Roman"/>
          <w:noProof/>
        </w:rPr>
        <w:t>.</w:t>
      </w:r>
    </w:p>
    <w:tbl>
      <w:tblPr>
        <w:tblStyle w:val="Mkatabulky"/>
        <w:tblW w:w="0" w:type="auto"/>
        <w:shd w:val="pct15" w:color="auto" w:fill="auto"/>
        <w:tblLook w:val="04A0" w:firstRow="1" w:lastRow="0" w:firstColumn="1" w:lastColumn="0" w:noHBand="0" w:noVBand="1"/>
      </w:tblPr>
      <w:tblGrid>
        <w:gridCol w:w="9282"/>
      </w:tblGrid>
      <w:tr w:rsidR="009B25B5">
        <w:tc>
          <w:tcPr>
            <w:tcW w:w="9282" w:type="dxa"/>
            <w:shd w:val="pct15" w:color="auto" w:fill="auto"/>
          </w:tcPr>
          <w:p w:rsidR="009B25B5" w:rsidRDefault="000F1CFC">
            <w:pPr>
              <w:pStyle w:val="Body"/>
              <w:spacing w:after="200"/>
              <w:jc w:val="both"/>
              <w:rPr>
                <w:rFonts w:hAnsi="Times New Roman" w:cs="Times New Roman"/>
                <w:noProof/>
              </w:rPr>
            </w:pPr>
            <w:r>
              <w:rPr>
                <w:rFonts w:hAnsi="Times New Roman" w:cs="Times New Roman"/>
                <w:noProof/>
              </w:rPr>
              <w:t xml:space="preserve">Komise přijme opatření k zajištění toho, aby rámec EU pro výjimky, který je důležitý pro přístup ke znalostem, vzdělávání a výzkumu, byl účinný také v digitálním věku a v přeshraničním styku. </w:t>
            </w:r>
          </w:p>
          <w:p w:rsidR="009B25B5" w:rsidRDefault="000F1CFC">
            <w:pPr>
              <w:pStyle w:val="Body"/>
              <w:spacing w:after="200"/>
              <w:jc w:val="both"/>
              <w:rPr>
                <w:rFonts w:hAnsi="Times New Roman" w:cs="Times New Roman"/>
                <w:noProof/>
              </w:rPr>
            </w:pPr>
            <w:r>
              <w:rPr>
                <w:rFonts w:hAnsi="Times New Roman" w:cs="Times New Roman"/>
                <w:noProof/>
              </w:rPr>
              <w:t xml:space="preserve">Jako první krok Komise navrhne právní předpisy nutné k provedení </w:t>
            </w:r>
            <w:r>
              <w:rPr>
                <w:rFonts w:hAnsi="Times New Roman" w:cs="Times New Roman"/>
                <w:b/>
                <w:noProof/>
              </w:rPr>
              <w:t>Marrákešské smlouvy.</w:t>
            </w:r>
            <w:r>
              <w:rPr>
                <w:rFonts w:hAnsi="Times New Roman" w:cs="Times New Roman"/>
                <w:noProof/>
              </w:rPr>
              <w:t xml:space="preserve"> </w:t>
            </w:r>
          </w:p>
          <w:p w:rsidR="009B25B5" w:rsidRDefault="000F1CFC">
            <w:pPr>
              <w:pStyle w:val="Body"/>
              <w:jc w:val="both"/>
              <w:rPr>
                <w:rFonts w:hAnsi="Times New Roman" w:cs="Times New Roman"/>
                <w:noProof/>
              </w:rPr>
            </w:pPr>
            <w:r>
              <w:rPr>
                <w:rFonts w:hAnsi="Times New Roman" w:cs="Times New Roman"/>
                <w:noProof/>
              </w:rPr>
              <w:t>Komise posuzuje možnosti a zváží legislativní návrhy týkající se ostatních výjimek v EU do jara 2016, jejichž prostřednictvím má být dosaženo těchto cílů:</w:t>
            </w:r>
          </w:p>
          <w:p w:rsidR="009B25B5" w:rsidRDefault="000F1CFC">
            <w:pPr>
              <w:pStyle w:val="Odstavecseseznamem"/>
              <w:numPr>
                <w:ilvl w:val="0"/>
                <w:numId w:val="4"/>
              </w:numPr>
              <w:jc w:val="both"/>
              <w:rPr>
                <w:rFonts w:hAnsi="Times New Roman" w:cs="Times New Roman"/>
                <w:i/>
                <w:iCs/>
                <w:noProof/>
              </w:rPr>
            </w:pPr>
            <w:r>
              <w:rPr>
                <w:rFonts w:hAnsi="Times New Roman" w:cs="Times New Roman"/>
                <w:noProof/>
              </w:rPr>
              <w:t xml:space="preserve">umožnit výzkumným organizacím veřejného zájmu provádět pro účely vědeckého výzkumu </w:t>
            </w:r>
            <w:r>
              <w:rPr>
                <w:rFonts w:hAnsi="Times New Roman" w:cs="Times New Roman"/>
                <w:b/>
                <w:noProof/>
              </w:rPr>
              <w:t>vytěžování textů a údajů z obsahu</w:t>
            </w:r>
            <w:r>
              <w:rPr>
                <w:rFonts w:hAnsi="Times New Roman" w:cs="Times New Roman"/>
                <w:noProof/>
              </w:rPr>
              <w:t>, k němuž mají zákonný přístup, při plné právní jistotě,</w:t>
            </w:r>
          </w:p>
          <w:p w:rsidR="009B25B5" w:rsidRDefault="000F1CFC">
            <w:pPr>
              <w:pStyle w:val="Odstavecseseznamem"/>
              <w:numPr>
                <w:ilvl w:val="0"/>
                <w:numId w:val="4"/>
              </w:numPr>
              <w:jc w:val="both"/>
              <w:rPr>
                <w:rFonts w:hAnsi="Times New Roman" w:cs="Times New Roman"/>
                <w:i/>
                <w:iCs/>
                <w:noProof/>
              </w:rPr>
            </w:pPr>
            <w:r>
              <w:rPr>
                <w:rFonts w:hAnsi="Times New Roman" w:cs="Times New Roman"/>
                <w:noProof/>
              </w:rPr>
              <w:t xml:space="preserve">vyjasnit oblast působnosti výjimky EU pro </w:t>
            </w:r>
            <w:r>
              <w:rPr>
                <w:rFonts w:hAnsi="Times New Roman" w:cs="Times New Roman"/>
                <w:b/>
                <w:noProof/>
              </w:rPr>
              <w:t>„ilustrační účel při vyučování“</w:t>
            </w:r>
            <w:r>
              <w:rPr>
                <w:rFonts w:hAnsi="Times New Roman" w:cs="Times New Roman"/>
                <w:noProof/>
              </w:rPr>
              <w:t xml:space="preserve"> a její uplatňování při digitálním využívání a elektronickém učení,</w:t>
            </w:r>
          </w:p>
          <w:p w:rsidR="009B25B5" w:rsidRDefault="000F1CFC">
            <w:pPr>
              <w:pStyle w:val="Odstavecseseznamem"/>
              <w:numPr>
                <w:ilvl w:val="0"/>
                <w:numId w:val="4"/>
              </w:numPr>
              <w:jc w:val="both"/>
              <w:rPr>
                <w:rFonts w:hAnsi="Times New Roman" w:cs="Times New Roman"/>
                <w:noProof/>
              </w:rPr>
            </w:pPr>
            <w:r>
              <w:rPr>
                <w:rFonts w:hAnsi="Times New Roman" w:cs="Times New Roman"/>
                <w:noProof/>
              </w:rPr>
              <w:t xml:space="preserve">vytvořit volný prostor pro instituce zabývající se </w:t>
            </w:r>
            <w:r>
              <w:rPr>
                <w:rFonts w:hAnsi="Times New Roman" w:cs="Times New Roman"/>
                <w:b/>
                <w:noProof/>
              </w:rPr>
              <w:t>zachování</w:t>
            </w:r>
            <w:r>
              <w:rPr>
                <w:rFonts w:hAnsi="Times New Roman" w:cs="Times New Roman"/>
                <w:noProof/>
              </w:rPr>
              <w:t>m kulturního dědictví a zohlednit přitom využívání digitálních technologií pro zachování kulturního dědictví a potřeby děl vytvořených v digitálním formátů nebo digitalizovaných děl,</w:t>
            </w:r>
          </w:p>
          <w:p w:rsidR="009B25B5" w:rsidRDefault="000F1CFC">
            <w:pPr>
              <w:pStyle w:val="Odstavecseseznamem"/>
              <w:numPr>
                <w:ilvl w:val="0"/>
                <w:numId w:val="4"/>
              </w:numPr>
              <w:jc w:val="both"/>
              <w:rPr>
                <w:rFonts w:hAnsi="Times New Roman" w:cs="Times New Roman"/>
                <w:noProof/>
              </w:rPr>
            </w:pPr>
            <w:r>
              <w:rPr>
                <w:rFonts w:hAnsi="Times New Roman" w:cs="Times New Roman"/>
                <w:noProof/>
              </w:rPr>
              <w:t xml:space="preserve">podpořit </w:t>
            </w:r>
            <w:r>
              <w:rPr>
                <w:rFonts w:hAnsi="Times New Roman" w:cs="Times New Roman"/>
                <w:b/>
                <w:noProof/>
              </w:rPr>
              <w:t>dálkový přístup</w:t>
            </w:r>
            <w:r>
              <w:rPr>
                <w:rFonts w:hAnsi="Times New Roman" w:cs="Times New Roman"/>
                <w:noProof/>
              </w:rPr>
              <w:t xml:space="preserve"> v uzavřených elektronických sítích k dílům uchovávaným ve vědeckých a akademických knihovnách a jiných příslušných institucích pro účely výzkumu a soukromého studia,</w:t>
            </w:r>
          </w:p>
          <w:p w:rsidR="009B25B5" w:rsidRDefault="000F1CFC">
            <w:pPr>
              <w:pStyle w:val="Odstavecseseznamem"/>
              <w:numPr>
                <w:ilvl w:val="0"/>
                <w:numId w:val="4"/>
              </w:numPr>
              <w:jc w:val="both"/>
              <w:rPr>
                <w:rFonts w:hAnsi="Times New Roman" w:cs="Times New Roman"/>
                <w:iCs/>
                <w:noProof/>
              </w:rPr>
            </w:pPr>
            <w:r>
              <w:rPr>
                <w:rFonts w:hAnsi="Times New Roman" w:cs="Times New Roman"/>
                <w:noProof/>
              </w:rPr>
              <w:t>vyjasnit stávající výjimku EU povolující využívání děl, která byla vytvořena za účelem trvalého umístění ve veřejném prostoru („</w:t>
            </w:r>
            <w:r>
              <w:rPr>
                <w:rFonts w:hAnsi="Times New Roman" w:cs="Times New Roman"/>
                <w:b/>
                <w:noProof/>
              </w:rPr>
              <w:t>výjimka o panoramatu</w:t>
            </w:r>
            <w:r>
              <w:rPr>
                <w:rFonts w:hAnsi="Times New Roman" w:cs="Times New Roman"/>
                <w:noProof/>
              </w:rPr>
              <w:t>“) s cílem zohlednit nové kanály šíření.</w:t>
            </w:r>
          </w:p>
          <w:p w:rsidR="009B25B5" w:rsidRDefault="009B25B5">
            <w:pPr>
              <w:pStyle w:val="Body"/>
              <w:jc w:val="both"/>
              <w:rPr>
                <w:rFonts w:hAnsi="Times New Roman" w:cs="Times New Roman"/>
                <w:noProof/>
              </w:rPr>
            </w:pPr>
          </w:p>
          <w:p w:rsidR="009B25B5" w:rsidRDefault="000F1CFC">
            <w:pPr>
              <w:pStyle w:val="Body"/>
              <w:jc w:val="both"/>
              <w:rPr>
                <w:rFonts w:hAnsi="Times New Roman" w:cs="Times New Roman"/>
                <w:noProof/>
              </w:rPr>
            </w:pPr>
            <w:r>
              <w:rPr>
                <w:rFonts w:hAnsi="Times New Roman" w:cs="Times New Roman"/>
                <w:noProof/>
              </w:rPr>
              <w:t xml:space="preserve">Obecným cílem je zvýšení úrovně harmonizace, povinné provádění příslušných výjimek členskými státy a zajištění jejich přeshraniční uplatnitelnosti v rámci celé EU. </w:t>
            </w:r>
          </w:p>
          <w:p w:rsidR="009B25B5" w:rsidRDefault="000F1C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both"/>
              <w:rPr>
                <w:rFonts w:hAnsi="Times New Roman" w:cs="Times New Roman"/>
                <w:noProof/>
              </w:rPr>
            </w:pPr>
            <w:r>
              <w:rPr>
                <w:rFonts w:hAnsi="Times New Roman" w:cs="Times New Roman"/>
                <w:noProof/>
              </w:rPr>
              <w:t>Při přípravě návrhů zohlední Komise příslušnou situaci na trhu a postupy při udělování licencí pro daná užití a zajistí dodržení mezinárodních závazků, včetně třístupňového testu</w:t>
            </w:r>
            <w:r>
              <w:rPr>
                <w:rStyle w:val="Znakapoznpodarou"/>
                <w:rFonts w:hAnsi="Times New Roman" w:cs="Times New Roman"/>
                <w:noProof/>
              </w:rPr>
              <w:footnoteReference w:id="26"/>
            </w:r>
            <w:r>
              <w:rPr>
                <w:rFonts w:hAnsi="Times New Roman" w:cs="Times New Roman"/>
                <w:noProof/>
              </w:rPr>
              <w:t>.  Cílem je poskytnout uživatelům a nositelům práv předvídatelný systém s právní jistotou.</w:t>
            </w:r>
          </w:p>
        </w:tc>
      </w:tr>
    </w:tbl>
    <w:p w:rsidR="009B25B5" w:rsidRDefault="000F1CFC">
      <w:pPr>
        <w:pStyle w:val="Body"/>
        <w:widowControl w:val="0"/>
        <w:spacing w:before="200"/>
        <w:jc w:val="both"/>
        <w:rPr>
          <w:rFonts w:hAnsi="Times New Roman" w:cs="Times New Roman"/>
          <w:noProof/>
        </w:rPr>
      </w:pPr>
      <w:r>
        <w:rPr>
          <w:rFonts w:hAnsi="Times New Roman" w:cs="Times New Roman"/>
          <w:noProof/>
        </w:rPr>
        <w:t xml:space="preserve">Významným zdrojem příjmů mohou být poplatky určené k odškodnění nositelů práv za výjimky v oblasti reprografie a soukromého kopírování, které však vyvolávají také otázky </w:t>
      </w:r>
      <w:r>
        <w:rPr>
          <w:rFonts w:hAnsi="Times New Roman" w:cs="Times New Roman"/>
          <w:noProof/>
        </w:rPr>
        <w:lastRenderedPageBreak/>
        <w:t xml:space="preserve">související s jednotným trhem. Mnohé členské státy zatěžují těmito poplatky širokou škálu médií a zařízení a tyto poplatky jsou stanovovány, uplatňovány a spravovány mnoha různými způsoby. </w:t>
      </w:r>
    </w:p>
    <w:p w:rsidR="009B25B5" w:rsidRDefault="000F1CFC">
      <w:pPr>
        <w:pStyle w:val="Body"/>
        <w:widowControl w:val="0"/>
        <w:jc w:val="both"/>
        <w:rPr>
          <w:rFonts w:hAnsi="Times New Roman" w:cs="Times New Roman"/>
          <w:noProof/>
        </w:rPr>
      </w:pPr>
      <w:r>
        <w:rPr>
          <w:rFonts w:hAnsi="Times New Roman" w:cs="Times New Roman"/>
          <w:noProof/>
        </w:rPr>
        <w:t>To vedlo ke značné právní nejistotě. Ustálená judikatura Soudního dvora EU objasnila některé otázky, na něž upozornila Vitoriniho zpráva z roku 2013</w:t>
      </w:r>
      <w:r>
        <w:rPr>
          <w:rStyle w:val="Znakapoznpodarou"/>
          <w:rFonts w:hAnsi="Times New Roman" w:cs="Times New Roman"/>
          <w:noProof/>
        </w:rPr>
        <w:footnoteReference w:id="27"/>
      </w:r>
      <w:r>
        <w:rPr>
          <w:rFonts w:hAnsi="Times New Roman" w:cs="Times New Roman"/>
          <w:noProof/>
        </w:rPr>
        <w:t xml:space="preserve"> jako na porušení zásady volného pohybu zboží a služeb.  Přetrvávající rozdíly mezi členskými státy však mohou být problematické, zejména pokud jsou produkty, na něž se vztahují poplatky, obchodovány v rámci EU. Poplatky jsou někdy ukládány členskými státy, aniž by byly zohledněny platby učiněné již v jiných členských státech, nebo bez řádných režimů výjimek či vratek. Rovněž při ukládání poplatků u produktů pro profesionální použití může dojít k neoprávněným platbám. Spotřebitelé postrádají jasnost a transparentnost. Rovněž může docházet k diskriminačním postupům při rozdělování vybraných poplatků upřednostňováním vnitrostátních nositelů práv. Tato situace může vyžadovat zásah na úrovni EU s cílem zajistit větší jasnost a odstranit závažná narušení.</w:t>
      </w:r>
    </w:p>
    <w:tbl>
      <w:tblPr>
        <w:tblStyle w:val="Mkatabulky"/>
        <w:tblW w:w="0" w:type="auto"/>
        <w:shd w:val="pct15" w:color="auto" w:fill="auto"/>
        <w:tblLook w:val="04A0" w:firstRow="1" w:lastRow="0" w:firstColumn="1" w:lastColumn="0" w:noHBand="0" w:noVBand="1"/>
      </w:tblPr>
      <w:tblGrid>
        <w:gridCol w:w="9282"/>
      </w:tblGrid>
      <w:tr w:rsidR="009B25B5">
        <w:tc>
          <w:tcPr>
            <w:tcW w:w="9282" w:type="dxa"/>
            <w:shd w:val="pct15" w:color="auto" w:fill="auto"/>
          </w:tcPr>
          <w:p w:rsidR="009B25B5" w:rsidRDefault="000F1CF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hAnsi="Times New Roman" w:cs="Times New Roman"/>
                <w:noProof/>
              </w:rPr>
            </w:pPr>
            <w:r>
              <w:rPr>
                <w:rFonts w:hAnsi="Times New Roman" w:cs="Times New Roman"/>
                <w:noProof/>
              </w:rPr>
              <w:t xml:space="preserve">Komise posoudí, zda jsou nutná opatření za účelem zajištění toho, aby rozdílné systémy členských států v případech, v nichž jsou ukládány poplatky za účelem odškodnění nositelů práv za soukromé kopírování a reprografii, fungovaly na </w:t>
            </w:r>
            <w:r>
              <w:rPr>
                <w:rFonts w:hAnsi="Times New Roman" w:cs="Times New Roman"/>
                <w:b/>
                <w:noProof/>
              </w:rPr>
              <w:t>jednotném trhu</w:t>
            </w:r>
            <w:r>
              <w:rPr>
                <w:rFonts w:hAnsi="Times New Roman" w:cs="Times New Roman"/>
                <w:noProof/>
              </w:rPr>
              <w:t xml:space="preserve"> řádně a nevytvářely překážky </w:t>
            </w:r>
            <w:r>
              <w:rPr>
                <w:rFonts w:hAnsi="Times New Roman" w:cs="Times New Roman"/>
                <w:b/>
                <w:noProof/>
              </w:rPr>
              <w:t>volného pohybu zboží a služeb.</w:t>
            </w:r>
            <w:r>
              <w:rPr>
                <w:rFonts w:hAnsi="Times New Roman" w:cs="Times New Roman"/>
                <w:noProof/>
              </w:rPr>
              <w:t xml:space="preserve"> Mezi otázky, které bude možná třeba řešit, patří spojení mezi odškodněním a škodou vzniklou nositelům práv, vztah mezi smluvními ujednáními a rozdělováním poplatků, dvojí placení poplatků, transparentnost vůči spotřebitelům, výjimky a zásady, které upravují režimy vratek, jakož i nediskriminační zacházení mezi státními příslušníky daného členského státu a jinými státními příslušníky při rozdělování vybraných poplatků. Komise bude rovněž podporovat úvahy o </w:t>
            </w:r>
            <w:r>
              <w:rPr>
                <w:rFonts w:hAnsi="Times New Roman" w:cs="Times New Roman"/>
                <w:b/>
                <w:noProof/>
              </w:rPr>
              <w:t>účinnějším rozdělování poplatků nositelům práv.</w:t>
            </w:r>
          </w:p>
        </w:tc>
      </w:tr>
    </w:tbl>
    <w:p w:rsidR="009B25B5" w:rsidRDefault="009B25B5">
      <w:pPr>
        <w:pStyle w:val="Body"/>
        <w:widowControl w:val="0"/>
        <w:jc w:val="both"/>
        <w:rPr>
          <w:rFonts w:hAnsi="Times New Roman" w:cs="Times New Roman"/>
          <w:noProof/>
        </w:rPr>
      </w:pPr>
    </w:p>
    <w:p w:rsidR="009B25B5" w:rsidRDefault="000F1CFC">
      <w:pPr>
        <w:pStyle w:val="Heading"/>
        <w:rPr>
          <w:rFonts w:hAnsi="Times New Roman" w:cs="Times New Roman"/>
          <w:i/>
          <w:iCs/>
          <w:noProof/>
          <w:shd w:val="clear" w:color="auto" w:fill="FFFF00"/>
        </w:rPr>
      </w:pPr>
      <w:r>
        <w:rPr>
          <w:rFonts w:hAnsi="Times New Roman" w:cs="Times New Roman"/>
          <w:noProof/>
        </w:rPr>
        <w:t>4. Vytvoření dobře fungujícího trhu pro autorské právo</w:t>
      </w:r>
    </w:p>
    <w:p w:rsidR="009B25B5" w:rsidRDefault="000F1CFC">
      <w:pPr>
        <w:pStyle w:val="Body"/>
        <w:jc w:val="both"/>
        <w:rPr>
          <w:rFonts w:hAnsi="Times New Roman" w:cs="Times New Roman"/>
          <w:noProof/>
        </w:rPr>
      </w:pPr>
      <w:r>
        <w:rPr>
          <w:rFonts w:hAnsi="Times New Roman" w:cs="Times New Roman"/>
          <w:noProof/>
        </w:rPr>
        <w:t>Předpokladem dobře fungujícího trhu pro autorské právo je možnost, aby nositelé práv mohli na využívání svého obsahu, včetně obsahu šířeného on-line, udělovat licence a dostávat za to odměnu. Výroba bohatého a rozmanitého kreativního obsahu a inovativní on-line služby tvoří dvě strany téže mince. Kreativní obsah i on-line služby jsou důležité pro růst a zaměstnanost a úspěch internetové ekonomiky.</w:t>
      </w:r>
    </w:p>
    <w:p w:rsidR="009B25B5" w:rsidRDefault="000F1CFC">
      <w:pPr>
        <w:pStyle w:val="Body"/>
        <w:jc w:val="both"/>
        <w:rPr>
          <w:rFonts w:hAnsi="Times New Roman" w:cs="Times New Roman"/>
          <w:noProof/>
        </w:rPr>
      </w:pPr>
      <w:r>
        <w:rPr>
          <w:rFonts w:hAnsi="Times New Roman" w:cs="Times New Roman"/>
          <w:noProof/>
        </w:rPr>
        <w:t xml:space="preserve">Sílí však znepokojení, zda stávající pravidla EU v oblasti autorského práva zajišťují, že hodnota vytvořená některými novými formami on-line distribuce obsahu je spravedlivě dělena, zejména pokud držitelé licencí nemohou určovat licenční podmínky a jednat s potenciálními uživateli na spravedlivém základě. Tato situace není slučitelná s ambicí jednotného digitálního trhu vytvářet příležitosti pro všechny a uznávat hodnotu obsahu a investic, které do něj plynou. Rovněž to znamená, že podmínky pro různé účastníky trhu provozující rovnocenné formy distribuce nejsou rovné. </w:t>
      </w:r>
    </w:p>
    <w:p w:rsidR="009B25B5" w:rsidRDefault="000F1CFC">
      <w:pPr>
        <w:pStyle w:val="Body"/>
        <w:jc w:val="both"/>
        <w:rPr>
          <w:rFonts w:hAnsi="Times New Roman" w:cs="Times New Roman"/>
          <w:noProof/>
        </w:rPr>
      </w:pPr>
      <w:r>
        <w:rPr>
          <w:rFonts w:hAnsi="Times New Roman" w:cs="Times New Roman"/>
          <w:noProof/>
        </w:rPr>
        <w:lastRenderedPageBreak/>
        <w:t>V současné době se tyto diskuze týkají zejména některých on-line platforem a agregačních služeb. Pravděpodobně se však rozšíří na všechny on-line činnosti zahrnující obchodní opětovné využití nebo další přenos obsahu chráněného autorským právem.</w:t>
      </w:r>
    </w:p>
    <w:p w:rsidR="009B25B5" w:rsidRDefault="000F1CFC">
      <w:pPr>
        <w:pStyle w:val="Body"/>
        <w:jc w:val="both"/>
        <w:rPr>
          <w:rFonts w:hAnsi="Times New Roman" w:cs="Times New Roman"/>
          <w:noProof/>
        </w:rPr>
      </w:pPr>
      <w:r>
        <w:rPr>
          <w:rFonts w:hAnsi="Times New Roman" w:cs="Times New Roman"/>
          <w:noProof/>
        </w:rPr>
        <w:t>Tato situace je dána různými důvody, jak právními, tak souvisejícími s trhem (včetně relativní tržní síly zúčastněných stran). Z pohledu autorského práva je důležitým aspektem definice práv na sdělování veřejnosti a zpřístupňování. Tato práva upravují používání obsahu chráněného autorským právem při digitálním přenosu. Jejich definice tedy určuje, co je na internetu úkonem, k němuž mohou tvůrci a tvůrčí odvětví uplatňovat práva a k němuž mohou vyjednávat licence a odměnu. Existují sporné oblasti a nejistoty ohledně způsobu, jakým jsou tyto koncepty definovány v právních předpisech EU. Jedná se zejména o to, jaké on-line úkony se považují za „sdělování veřejnosti“ (a proto vyžadují svolení nositelů práv) a za jakých podmínek</w:t>
      </w:r>
      <w:r>
        <w:rPr>
          <w:rStyle w:val="Znakapoznpodarou"/>
          <w:rFonts w:hAnsi="Times New Roman" w:cs="Times New Roman"/>
          <w:noProof/>
        </w:rPr>
        <w:footnoteReference w:id="28"/>
      </w:r>
      <w:r>
        <w:rPr>
          <w:rFonts w:hAnsi="Times New Roman" w:cs="Times New Roman"/>
          <w:noProof/>
        </w:rPr>
        <w:t>. Tyto problémy na jedné straně vytváří nejistotu na trhu a na druhé straně vyvolávají otázku, zda jsou tato práva vhodná k provedení hlavní zásady autorského, podle níž musí být úkony užívání povoleny a odměněny, v on-line prostředí. Kromě významu pro spravedlivé rozdělení hodnoty na on-line trhu může nejasná definice těchto práv vést rovněž k nejistotě u běžných uživatelů internetu.</w:t>
      </w:r>
    </w:p>
    <w:p w:rsidR="009B25B5" w:rsidRDefault="000F1CFC">
      <w:pPr>
        <w:pStyle w:val="Body"/>
        <w:jc w:val="both"/>
        <w:rPr>
          <w:rFonts w:hAnsi="Times New Roman" w:cs="Times New Roman"/>
          <w:noProof/>
        </w:rPr>
      </w:pPr>
      <w:r>
        <w:rPr>
          <w:rFonts w:hAnsi="Times New Roman" w:cs="Times New Roman"/>
          <w:noProof/>
        </w:rPr>
        <w:t>Obecněji řečeno, situace vyvolává otázky ohledně toho, zda stávající soubor práv uznávaný právem EU je dostatečný a dobře koncipovaný. Některé státy se například snaží nalézt řešení pro agregátory zpráv, čímž však podstupují riziko ještě větší roztříštěnosti jednotného digitálního trhu.</w:t>
      </w:r>
    </w:p>
    <w:p w:rsidR="009B25B5" w:rsidRDefault="000F1CFC">
      <w:pPr>
        <w:pStyle w:val="Body"/>
        <w:jc w:val="both"/>
        <w:rPr>
          <w:rFonts w:hAnsi="Times New Roman" w:cs="Times New Roman"/>
          <w:noProof/>
        </w:rPr>
      </w:pPr>
      <w:r>
        <w:rPr>
          <w:rFonts w:hAnsi="Times New Roman" w:cs="Times New Roman"/>
          <w:noProof/>
        </w:rPr>
        <w:t>Navíc platformy mohou také zastávat názor, že jejich úkony nejsou z hlediska autorského práva vůbec relevantní nebo že jejich činnosti mají čistě technickou, automatickou a pasivní povahu, což jim umožňuje využít výjimku z odpovědnosti podle směrnice o elektronickém obchodu</w:t>
      </w:r>
      <w:r>
        <w:rPr>
          <w:rStyle w:val="Znakapoznpodarou"/>
          <w:rFonts w:hAnsi="Times New Roman" w:cs="Times New Roman"/>
          <w:noProof/>
        </w:rPr>
        <w:footnoteReference w:id="29"/>
      </w:r>
      <w:r>
        <w:rPr>
          <w:rFonts w:hAnsi="Times New Roman" w:cs="Times New Roman"/>
          <w:noProof/>
        </w:rPr>
        <w:t>. To vyvolalo diskusi ohledně působnosti této výjimky a jejího uplatňování na rychle se vyvíjející role a činnosti nových hráčů, jakož i a ohledně toho, zda tyto činnosti přesahují pouhý hosting či prostý přenos obsahu.</w:t>
      </w:r>
    </w:p>
    <w:p w:rsidR="009B25B5" w:rsidRDefault="000F1CFC">
      <w:pPr>
        <w:pStyle w:val="Body"/>
        <w:widowControl w:val="0"/>
        <w:jc w:val="both"/>
        <w:rPr>
          <w:rFonts w:hAnsi="Times New Roman" w:cs="Times New Roman"/>
          <w:noProof/>
        </w:rPr>
      </w:pPr>
      <w:r>
        <w:rPr>
          <w:rFonts w:hAnsi="Times New Roman" w:cs="Times New Roman"/>
          <w:noProof/>
        </w:rPr>
        <w:t>Další významnou otázkou je spravedlivé odměňování autorů a výkonných umělců, na které mohou mít rozdíly ve vyjednávací síle při udělování licencí nebo převodu jejich práv obzvláště velký dopad. K řešením navrženým zúčastněnými stranami v této souvislosti patří regulace některých smluvních praktik, nezadatelná práva na odměnu, kolektivní vyjednávání a kolektivní správa práv.</w:t>
      </w:r>
    </w:p>
    <w:p w:rsidR="009B25B5" w:rsidRDefault="000F1CFC">
      <w:pPr>
        <w:pStyle w:val="Body"/>
        <w:pBdr>
          <w:top w:val="single" w:sz="4" w:space="1" w:color="000000"/>
          <w:left w:val="single" w:sz="4" w:space="1" w:color="000000"/>
          <w:bottom w:val="single" w:sz="4" w:space="1" w:color="000000"/>
          <w:right w:val="single" w:sz="4" w:space="1" w:color="000000"/>
        </w:pBdr>
        <w:shd w:val="clear" w:color="auto" w:fill="D9D9D9" w:themeFill="background1" w:themeFillShade="D9"/>
        <w:spacing w:line="240" w:lineRule="auto"/>
        <w:jc w:val="both"/>
        <w:rPr>
          <w:rFonts w:hAnsi="Times New Roman" w:cs="Times New Roman"/>
          <w:noProof/>
        </w:rPr>
      </w:pPr>
      <w:r>
        <w:rPr>
          <w:rFonts w:hAnsi="Times New Roman" w:cs="Times New Roman"/>
          <w:noProof/>
        </w:rPr>
        <w:t>Komise zvažuje a konzultuje</w:t>
      </w:r>
      <w:r>
        <w:rPr>
          <w:rStyle w:val="Znakapoznpodarou"/>
          <w:rFonts w:hAnsi="Times New Roman" w:cs="Times New Roman"/>
          <w:noProof/>
        </w:rPr>
        <w:footnoteReference w:id="30"/>
      </w:r>
      <w:r>
        <w:rPr>
          <w:rFonts w:hAnsi="Times New Roman" w:cs="Times New Roman"/>
          <w:noProof/>
        </w:rPr>
        <w:t xml:space="preserve"> různé faktory týkající se rozdělování hodnoty vytvořené novými formami on-line šíření děl chráněných autorským právem mezi různé účastníky trhu. Komise zváží opatření v této oblasti do jara roku 2016. Cílem bude zajistit, aby subjekty, které přispívají k vytvoření takové hodnoty, mohly plně využívat svých práv, a tím přispívat ke spravedlivému rozdělení této hodnoty a k odpovídajícímu odměňování za on-line užívání obsahu chráněného autorským právem. </w:t>
      </w:r>
    </w:p>
    <w:p w:rsidR="009B25B5" w:rsidRDefault="000F1CFC">
      <w:pPr>
        <w:pStyle w:val="Body"/>
        <w:pBdr>
          <w:top w:val="single" w:sz="4" w:space="1" w:color="000000"/>
          <w:left w:val="single" w:sz="4" w:space="1" w:color="000000"/>
          <w:bottom w:val="single" w:sz="4" w:space="1" w:color="000000"/>
          <w:right w:val="single" w:sz="4" w:space="1" w:color="000000"/>
        </w:pBdr>
        <w:shd w:val="clear" w:color="auto" w:fill="D9D9D9" w:themeFill="background1" w:themeFillShade="D9"/>
        <w:spacing w:line="240" w:lineRule="auto"/>
        <w:jc w:val="both"/>
        <w:rPr>
          <w:rFonts w:hAnsi="Times New Roman" w:cs="Times New Roman"/>
          <w:noProof/>
        </w:rPr>
      </w:pPr>
      <w:r>
        <w:rPr>
          <w:rFonts w:hAnsi="Times New Roman" w:cs="Times New Roman"/>
          <w:noProof/>
        </w:rPr>
        <w:lastRenderedPageBreak/>
        <w:t xml:space="preserve">V této souvislosti Komise přezkoumá, zda je třeba přijmout opatření týkající se </w:t>
      </w:r>
      <w:r>
        <w:rPr>
          <w:rFonts w:hAnsi="Times New Roman" w:cs="Times New Roman"/>
          <w:b/>
          <w:noProof/>
        </w:rPr>
        <w:t>vymezení práv</w:t>
      </w:r>
      <w:r>
        <w:rPr>
          <w:rFonts w:hAnsi="Times New Roman" w:cs="Times New Roman"/>
          <w:noProof/>
        </w:rPr>
        <w:t xml:space="preserve"> na „sdělování veřejnosti“ a „zpřístupnění“. Komise také zváží, zda je nutné nějaké konkrétní opatření ve vztahu k agregátorům zpráv, včetně zásahů v oblasti </w:t>
      </w:r>
      <w:r>
        <w:rPr>
          <w:rFonts w:hAnsi="Times New Roman" w:cs="Times New Roman"/>
          <w:b/>
          <w:noProof/>
        </w:rPr>
        <w:t>práv</w:t>
      </w:r>
      <w:r>
        <w:rPr>
          <w:rFonts w:hAnsi="Times New Roman" w:cs="Times New Roman"/>
          <w:noProof/>
        </w:rPr>
        <w:t>. Rovněž bude posouzena úloha alternativních mechanismů řešení sporů. Kromě autorského práva vezme Komise v úvahu různé faktory, které ovlivňují tuto situaci, za účelem zajištění jednotných a účinných politických opatření. Iniciativy v této oblasti budou v souladu s prací Komise v oblasti on-line platforem v rámci strategie pro jednotný digitální trh.</w:t>
      </w:r>
    </w:p>
    <w:p w:rsidR="009B25B5" w:rsidRDefault="000F1CFC">
      <w:pPr>
        <w:pStyle w:val="Body"/>
        <w:widowControl w:val="0"/>
        <w:pBdr>
          <w:top w:val="single" w:sz="4" w:space="1" w:color="000000"/>
          <w:left w:val="single" w:sz="4" w:space="1" w:color="000000"/>
          <w:bottom w:val="single" w:sz="4" w:space="10" w:color="000000"/>
          <w:right w:val="single" w:sz="4" w:space="1" w:color="000000"/>
          <w:between w:val="none" w:sz="0" w:space="0" w:color="auto"/>
          <w:bar w:val="none" w:sz="0" w:color="auto"/>
        </w:pBdr>
        <w:shd w:val="clear" w:color="auto" w:fill="D9D9D9" w:themeFill="background1" w:themeFillShade="D9"/>
        <w:spacing w:line="240" w:lineRule="auto"/>
        <w:jc w:val="both"/>
        <w:rPr>
          <w:rFonts w:hAnsi="Times New Roman" w:cs="Times New Roman"/>
          <w:noProof/>
        </w:rPr>
      </w:pPr>
      <w:r>
        <w:rPr>
          <w:rFonts w:hAnsi="Times New Roman" w:cs="Times New Roman"/>
          <w:noProof/>
        </w:rPr>
        <w:t xml:space="preserve">Komise rovněž zváží, zda jsou potřebná řešení na úrovni EU pro zvýšení právní jistoty, transparentnosti a vyváženosti systému, kterým se řídí </w:t>
      </w:r>
      <w:r>
        <w:rPr>
          <w:rFonts w:hAnsi="Times New Roman" w:cs="Times New Roman"/>
          <w:b/>
          <w:noProof/>
        </w:rPr>
        <w:t>odměňování autorů a výkonných umělců</w:t>
      </w:r>
      <w:r>
        <w:rPr>
          <w:rFonts w:hAnsi="Times New Roman" w:cs="Times New Roman"/>
          <w:noProof/>
        </w:rPr>
        <w:t xml:space="preserve"> v EU, přičemž zohlední pravomoci členských států.</w:t>
      </w:r>
    </w:p>
    <w:p w:rsidR="009B25B5" w:rsidRDefault="009B25B5">
      <w:pPr>
        <w:pStyle w:val="Body"/>
        <w:keepNext/>
        <w:keepLines/>
        <w:spacing w:after="0" w:line="240" w:lineRule="auto"/>
        <w:outlineLvl w:val="0"/>
        <w:rPr>
          <w:rFonts w:hAnsi="Times New Roman" w:cs="Times New Roman"/>
          <w:b/>
          <w:bCs/>
          <w:smallCaps/>
          <w:noProof/>
        </w:rPr>
      </w:pPr>
    </w:p>
    <w:p w:rsidR="009B25B5" w:rsidRDefault="000F1CFC">
      <w:pPr>
        <w:pStyle w:val="Body"/>
        <w:keepNext/>
        <w:keepLines/>
        <w:outlineLvl w:val="0"/>
        <w:rPr>
          <w:rFonts w:hAnsi="Times New Roman" w:cs="Times New Roman"/>
          <w:b/>
          <w:bCs/>
          <w:smallCaps/>
          <w:noProof/>
        </w:rPr>
      </w:pPr>
      <w:r>
        <w:rPr>
          <w:rFonts w:hAnsi="Times New Roman" w:cs="Times New Roman"/>
          <w:b/>
          <w:smallCaps/>
          <w:noProof/>
        </w:rPr>
        <w:t>5. Zajištění účinného a vyváženého systému vynucování práva</w:t>
      </w:r>
    </w:p>
    <w:p w:rsidR="009B25B5" w:rsidRDefault="000F1CFC">
      <w:pPr>
        <w:pStyle w:val="Body"/>
        <w:spacing w:before="200"/>
        <w:jc w:val="both"/>
        <w:rPr>
          <w:rFonts w:hAnsi="Times New Roman" w:cs="Times New Roman"/>
          <w:noProof/>
        </w:rPr>
      </w:pPr>
      <w:r>
        <w:rPr>
          <w:rFonts w:hAnsi="Times New Roman" w:cs="Times New Roman"/>
          <w:noProof/>
        </w:rPr>
        <w:t>Dodržování autorského práva, jako jakéhokoli jiného práva duševního vlastnictví, má zásadní význam pro podporu tvořivosti a inovací a vytváří důvěru na trhu. Práva, která nemohou být účinně prosazována, mají malou hospodářskou hodnotu, zejména pokud dojde k porušení v komerčním měřítku, které parazituje na práci a investicích tvůrců, tvůrčího odvětví a služeb legální distribuce. Takové porušování v komerčním měřítku je v současné době velmi časté a škodlivé, a to nejen pro nositele práv, ale také pro hospodářství EU jako celek. Účinný a vyvážený systém prosazování občanského práva</w:t>
      </w:r>
      <w:r>
        <w:rPr>
          <w:rStyle w:val="Znakapoznpodarou"/>
          <w:rFonts w:hAnsi="Times New Roman" w:cs="Times New Roman"/>
          <w:noProof/>
        </w:rPr>
        <w:footnoteReference w:id="31"/>
      </w:r>
      <w:r>
        <w:rPr>
          <w:rFonts w:hAnsi="Times New Roman" w:cs="Times New Roman"/>
          <w:noProof/>
        </w:rPr>
        <w:t>, který plně zohledňuje základní práva, je potřebný pro snížení nákladů na boj proti porušování předpisů, zejména pro malé podniky, a pro udržení kroku s rostoucí přeshraniční povahou tohoto porušování.</w:t>
      </w:r>
    </w:p>
    <w:p w:rsidR="009B25B5" w:rsidRDefault="000F1CFC">
      <w:pPr>
        <w:pStyle w:val="Body"/>
        <w:widowControl w:val="0"/>
        <w:spacing w:before="200"/>
        <w:jc w:val="both"/>
        <w:rPr>
          <w:rFonts w:hAnsi="Times New Roman" w:cs="Times New Roman"/>
          <w:noProof/>
        </w:rPr>
      </w:pPr>
      <w:r>
        <w:rPr>
          <w:rFonts w:hAnsi="Times New Roman" w:cs="Times New Roman"/>
          <w:noProof/>
        </w:rPr>
        <w:t>Pro účinné zvládání těchto výzev je nutné obnovené úsilí a případný přezkum některých aspektů stávajícího právního rámce. Zdá se, že přístup založený na sledování toku peněz, kdy lze odhalit zapojení různých typů poskytovatelů zprostředkovatelských služeb, je obzvláště slibnou metodou, kterou Komise</w:t>
      </w:r>
      <w:r>
        <w:rPr>
          <w:rStyle w:val="Znakapoznpodarou"/>
          <w:rFonts w:hAnsi="Times New Roman" w:cs="Times New Roman"/>
          <w:noProof/>
        </w:rPr>
        <w:footnoteReference w:id="32"/>
      </w:r>
      <w:r>
        <w:rPr>
          <w:rFonts w:hAnsi="Times New Roman" w:cs="Times New Roman"/>
          <w:noProof/>
        </w:rPr>
        <w:t xml:space="preserve"> a členské státy začaly v některých oblastech uplatňovat.  Může připravit osoby podílející se na porušování práv duševního vlastnictví v komerčním měřítku o zdroje příjmů (např. z plateb od spotřebitelů nebo z reklamy) pocházejících z jejich protiprávní činnosti, a mít tedy odrazující účinek. Dále se zdá, že současný právní rámec neodpovídá plně výzvám jednotného digitálního trhu, zejména pokud jde o uplatňování práva na informace, soudní příkazy a jejich přeshraniční dopad, výpočet škody a náhradu soudních nákladů. Komise v současné době posuzuje fungování obecnějšího rámce pro práva duševního vlastnictví a konzultuje v souvislosti s těmito otázkami veřejnost</w:t>
      </w:r>
      <w:r>
        <w:rPr>
          <w:rStyle w:val="Znakapoznpodarou"/>
          <w:rFonts w:hAnsi="Times New Roman" w:cs="Times New Roman"/>
          <w:noProof/>
        </w:rPr>
        <w:footnoteReference w:id="33"/>
      </w:r>
      <w:r>
        <w:rPr>
          <w:rFonts w:hAnsi="Times New Roman" w:cs="Times New Roman"/>
          <w:noProof/>
        </w:rPr>
        <w:t xml:space="preserve"> v souladu s cíli strategie pro jednotný digitální trh a  strategie pro vnitřní trh</w:t>
      </w:r>
      <w:r>
        <w:rPr>
          <w:rStyle w:val="Znakapoznpodarou"/>
          <w:rFonts w:hAnsi="Times New Roman" w:cs="Times New Roman"/>
          <w:noProof/>
        </w:rPr>
        <w:footnoteReference w:id="34"/>
      </w:r>
      <w:r>
        <w:rPr>
          <w:rFonts w:hAnsi="Times New Roman" w:cs="Times New Roman"/>
          <w:noProof/>
        </w:rPr>
        <w:t xml:space="preserve">. Je rovněž důležité, aby systémy, které umožňují hostingovým službám po zjištění nelegálního obsahu tento obsah odstranit, byly účinné a transparentní a zamezovaly odstraňování přijímání legálního obsahu. Tyto systémy, které se uplatňují horizontálně na všechny druhy nelegálního obsahu, jsou velmi důležité pro vymáhání autorského práva, neboť materiály chráněné autorským právem </w:t>
      </w:r>
      <w:r>
        <w:rPr>
          <w:rFonts w:hAnsi="Times New Roman" w:cs="Times New Roman"/>
          <w:noProof/>
        </w:rPr>
        <w:lastRenderedPageBreak/>
        <w:t>přestavují velký podíl obsahu, kterého se výzvy k odstranění týkají.</w:t>
      </w:r>
    </w:p>
    <w:p w:rsidR="009B25B5" w:rsidRDefault="000F1CFC">
      <w:pPr>
        <w:pBdr>
          <w:top w:val="single" w:sz="4" w:space="1" w:color="000000"/>
          <w:left w:val="single" w:sz="4" w:space="1" w:color="000000"/>
          <w:bottom w:val="single" w:sz="4" w:space="10" w:color="000000"/>
          <w:right w:val="single" w:sz="4" w:space="1" w:color="000000"/>
          <w:between w:val="nil"/>
          <w:bar w:val="nil"/>
        </w:pBdr>
        <w:shd w:val="clear" w:color="auto" w:fill="D9D9D9" w:themeFill="background1" w:themeFillShade="D9"/>
        <w:spacing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cs="Times New Roman"/>
          <w:noProof/>
          <w:color w:val="000000"/>
          <w:sz w:val="24"/>
          <w:u w:color="000000"/>
          <w:bdr w:val="nil"/>
        </w:rPr>
        <w:t xml:space="preserve">Komise učiní okamžitá opatření, aby zapojila všechny dotčené zúčastněné strany s cílem vytvořit a uplatňovat </w:t>
      </w:r>
      <w:r>
        <w:rPr>
          <w:rFonts w:ascii="Times New Roman" w:hAnsi="Times New Roman" w:cs="Times New Roman"/>
          <w:b/>
          <w:noProof/>
          <w:color w:val="000000"/>
          <w:sz w:val="24"/>
          <w:u w:color="000000"/>
          <w:bdr w:val="nil"/>
        </w:rPr>
        <w:t>mechanismus sledování toku peněz</w:t>
      </w:r>
      <w:r>
        <w:rPr>
          <w:rFonts w:ascii="Times New Roman" w:hAnsi="Times New Roman" w:cs="Times New Roman"/>
          <w:noProof/>
          <w:color w:val="000000"/>
          <w:sz w:val="24"/>
          <w:u w:color="000000"/>
          <w:bdr w:val="nil"/>
        </w:rPr>
        <w:t xml:space="preserve"> založený na samoregulačním přístupu, přičemž dohody má být dosaženo do jara roku 2016. Kodexy chování na úrovni EU by mohly být podpořeny právními předpisy, bude-li to nezbytné k zajištění jejich plné účinnosti.  </w:t>
      </w:r>
    </w:p>
    <w:p w:rsidR="009B25B5" w:rsidRDefault="000F1CFC">
      <w:pPr>
        <w:pBdr>
          <w:top w:val="single" w:sz="4" w:space="1" w:color="000000"/>
          <w:left w:val="single" w:sz="4" w:space="1" w:color="000000"/>
          <w:bottom w:val="single" w:sz="4" w:space="10" w:color="000000"/>
          <w:right w:val="single" w:sz="4" w:space="1" w:color="000000"/>
          <w:between w:val="nil"/>
          <w:bar w:val="nil"/>
        </w:pBdr>
        <w:shd w:val="clear" w:color="auto" w:fill="D9D9D9" w:themeFill="background1" w:themeFillShade="D9"/>
        <w:spacing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cs="Times New Roman"/>
          <w:noProof/>
          <w:color w:val="000000"/>
          <w:sz w:val="24"/>
          <w:u w:color="000000"/>
          <w:bdr w:val="nil"/>
        </w:rPr>
        <w:t>Pokud jde o </w:t>
      </w:r>
      <w:r>
        <w:rPr>
          <w:rFonts w:ascii="Times New Roman" w:hAnsi="Times New Roman" w:cs="Times New Roman"/>
          <w:b/>
          <w:noProof/>
          <w:color w:val="000000"/>
          <w:sz w:val="24"/>
          <w:u w:color="000000"/>
          <w:bdr w:val="nil"/>
        </w:rPr>
        <w:t>právní rámec pro prosazování práv duševního vlastnictví,</w:t>
      </w:r>
      <w:r>
        <w:rPr>
          <w:rFonts w:ascii="Times New Roman" w:hAnsi="Times New Roman" w:cs="Times New Roman"/>
          <w:noProof/>
          <w:color w:val="000000"/>
          <w:sz w:val="24"/>
          <w:u w:color="000000"/>
          <w:bdr w:val="nil"/>
        </w:rPr>
        <w:t xml:space="preserve"> včetně autorského práva, Komise posoudí možnosti a do konce podzimu 2016 zváží nutnost změnit právní rámec zejména s ohledem na porušování práv v komerčním měřítku, mimo jiné s cílem objasnit případně pravidla pro identifikaci protiprávně jednajících subjektů, uplatňování předběžných a zajišťovacích opatření a soudní příkazy a jejich přeshraniční dopad, výpočet a rozdělení škody a soudních nákladů. </w:t>
      </w:r>
    </w:p>
    <w:p w:rsidR="009B25B5" w:rsidRDefault="000F1CFC">
      <w:pPr>
        <w:pBdr>
          <w:top w:val="single" w:sz="4" w:space="1" w:color="000000"/>
          <w:left w:val="single" w:sz="4" w:space="1" w:color="000000"/>
          <w:bottom w:val="single" w:sz="4" w:space="10" w:color="000000"/>
          <w:right w:val="single" w:sz="4" w:space="1" w:color="000000"/>
          <w:between w:val="nil"/>
          <w:bar w:val="nil"/>
        </w:pBdr>
        <w:shd w:val="clear" w:color="auto" w:fill="D9D9D9" w:themeFill="background1" w:themeFillShade="D9"/>
        <w:spacing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cs="Times New Roman"/>
          <w:noProof/>
          <w:color w:val="000000"/>
          <w:sz w:val="24"/>
          <w:u w:color="000000"/>
          <w:bdr w:val="nil"/>
        </w:rPr>
        <w:t>Komise rovněž provádí komplexní hodnocení a veřejné konzultace týkající se on-line platforem</w:t>
      </w:r>
      <w:r>
        <w:rPr>
          <w:rFonts w:ascii="Times New Roman" w:hAnsi="Times New Roman" w:cs="Times New Roman"/>
          <w:noProof/>
          <w:color w:val="000000"/>
          <w:sz w:val="24"/>
          <w:u w:color="000000"/>
          <w:bdr w:val="nil"/>
        </w:rPr>
        <w:footnoteReference w:id="35"/>
      </w:r>
      <w:r>
        <w:rPr>
          <w:rFonts w:ascii="Times New Roman" w:hAnsi="Times New Roman" w:cs="Times New Roman"/>
          <w:noProof/>
          <w:color w:val="000000"/>
          <w:sz w:val="24"/>
          <w:u w:color="000000"/>
          <w:bdr w:val="nil"/>
        </w:rPr>
        <w:t>, které zahrnují rovněž „mechanismy pro oznámení protiprávního obsahu a přijetí opatření“ a vydávání opatření, která zůstanou trvale v platnosti (zásada „take down and stay down“).</w:t>
      </w:r>
    </w:p>
    <w:p w:rsidR="009B25B5" w:rsidRDefault="009B25B5">
      <w:pPr>
        <w:pStyle w:val="Heading"/>
        <w:spacing w:after="0" w:line="240" w:lineRule="auto"/>
        <w:rPr>
          <w:rFonts w:hAnsi="Times New Roman" w:cs="Times New Roman"/>
          <w:noProof/>
        </w:rPr>
      </w:pPr>
    </w:p>
    <w:p w:rsidR="009B25B5" w:rsidRDefault="000F1CFC">
      <w:pPr>
        <w:pStyle w:val="Heading"/>
        <w:rPr>
          <w:rFonts w:hAnsi="Times New Roman" w:cs="Times New Roman"/>
          <w:noProof/>
        </w:rPr>
      </w:pPr>
      <w:r>
        <w:rPr>
          <w:rFonts w:hAnsi="Times New Roman" w:cs="Times New Roman"/>
          <w:noProof/>
        </w:rPr>
        <w:t>6. Podpora dlouhodobé vize</w:t>
      </w:r>
    </w:p>
    <w:p w:rsidR="009B25B5" w:rsidRDefault="000F1CFC">
      <w:pPr>
        <w:pStyle w:val="Body"/>
        <w:jc w:val="both"/>
        <w:rPr>
          <w:rFonts w:hAnsi="Times New Roman" w:cs="Times New Roman"/>
          <w:noProof/>
        </w:rPr>
      </w:pPr>
      <w:r>
        <w:rPr>
          <w:rFonts w:hAnsi="Times New Roman" w:cs="Times New Roman"/>
          <w:noProof/>
        </w:rPr>
        <w:t>Autorské právo bude v hospodářství, společnosti a kultuře hrát v dlouhodobém horizontu i nadále důležitou roli. V některých oblastech bude třeba sledovat příslib tržně orientovaných řešení v reakci na nově vznikající způsoby využití, zejména pokud jde o přeshraniční rozměr. Obecně by EU měla být připravena reagovat na potřebu dalšího sbližování svých vnitrostátních systémů v oblasti autorského práva, neboť trhy s obsahem se sbližují a chování uživatelů se dále vyvíjí v souvislosti s rychlým technologickým vývojem.</w:t>
      </w:r>
    </w:p>
    <w:p w:rsidR="009B25B5" w:rsidRDefault="000F1CFC">
      <w:pPr>
        <w:pStyle w:val="Body"/>
        <w:widowControl w:val="0"/>
        <w:jc w:val="both"/>
        <w:rPr>
          <w:rFonts w:hAnsi="Times New Roman" w:cs="Times New Roman"/>
          <w:i/>
          <w:iCs/>
          <w:noProof/>
        </w:rPr>
      </w:pPr>
      <w:r>
        <w:rPr>
          <w:rFonts w:hAnsi="Times New Roman" w:cs="Times New Roman"/>
          <w:noProof/>
        </w:rPr>
        <w:t>Účinné a jednotné uplatňování právních předpisů v oblasti autorského práva v celé EU ze strany vnitrostátních zákonodárců i soudů bude v budoucnu stejně důležité jako předpisy samotné. Případné obtíže a překážky jednotného trhu by měly být zjištěny co nejdříve a řešeny prostřednictvím vhodných mechanismů.</w:t>
      </w:r>
      <w:r>
        <w:rPr>
          <w:rFonts w:hAnsi="Times New Roman" w:cs="Times New Roman"/>
          <w:noProof/>
          <w:color w:val="auto"/>
        </w:rPr>
        <w:t xml:space="preserve"> </w:t>
      </w:r>
      <w:r>
        <w:rPr>
          <w:rFonts w:hAnsi="Times New Roman" w:cs="Times New Roman"/>
          <w:noProof/>
        </w:rPr>
        <w:t>Komise usnadní strukturovaný dialog mezi členskými státy za účelem zajištění společného chápání právních předpisů EU v oblasti autorského práva a posílí sbližování vnitrostátních právních předpisů, včetně jejich vymáhání.</w:t>
      </w:r>
    </w:p>
    <w:p w:rsidR="009B25B5" w:rsidRDefault="000F1CFC">
      <w:pPr>
        <w:pStyle w:val="Body"/>
        <w:spacing w:before="120" w:after="120"/>
        <w:jc w:val="both"/>
        <w:rPr>
          <w:rFonts w:hAnsi="Times New Roman" w:cs="Times New Roman"/>
          <w:noProof/>
          <w:color w:val="auto"/>
        </w:rPr>
      </w:pPr>
      <w:r>
        <w:rPr>
          <w:rFonts w:hAnsi="Times New Roman" w:cs="Times New Roman"/>
          <w:noProof/>
        </w:rPr>
        <w:t xml:space="preserve">Komise bude také nadále věnovat pozornost slaďování právního rámce s vývojem na trhu a chováním spotřebitelů, včetně výjimek a mechanismů udělování licencí. </w:t>
      </w:r>
      <w:r>
        <w:rPr>
          <w:rFonts w:hAnsi="Times New Roman" w:cs="Times New Roman"/>
          <w:noProof/>
          <w:color w:val="auto"/>
        </w:rPr>
        <w:t xml:space="preserve"> Bude tak činit zejména s ohledem na nově vyvstávající otázky, které vyžadují další analýzu a sledování. Komise povede dialogy se zúčastněnými stranami a případné další konzultace.</w:t>
      </w:r>
    </w:p>
    <w:p w:rsidR="009B25B5" w:rsidRDefault="000F1CFC">
      <w:pPr>
        <w:pStyle w:val="Body"/>
        <w:spacing w:before="200"/>
        <w:jc w:val="both"/>
        <w:rPr>
          <w:rFonts w:hAnsi="Times New Roman" w:cs="Times New Roman"/>
          <w:noProof/>
        </w:rPr>
      </w:pPr>
      <w:r>
        <w:rPr>
          <w:rFonts w:hAnsi="Times New Roman" w:cs="Times New Roman"/>
          <w:noProof/>
        </w:rPr>
        <w:t xml:space="preserve">Komise bude takto postupně pracovat na uskutečnění dlouhodobé vize autorského práva v EU, na němž se na autory a umělce, tvůrčí odvětví, uživatele a všechny osoby, jichž se týká autorské právo, budou vztahovat stejná pravidla bez ohledu na to, kde se v EU nacházejí. </w:t>
      </w:r>
      <w:r>
        <w:rPr>
          <w:rFonts w:hAnsi="Times New Roman" w:cs="Times New Roman"/>
          <w:noProof/>
        </w:rPr>
        <w:lastRenderedPageBreak/>
        <w:t>V této souvislosti může Komise přizvat odborníky, aby jí byli nápomocni při vymezování dalších potřeb reformy EU v oblasti autorského práva.</w:t>
      </w:r>
    </w:p>
    <w:p w:rsidR="009B25B5" w:rsidRDefault="000F1CFC">
      <w:pPr>
        <w:pStyle w:val="Body"/>
        <w:jc w:val="both"/>
        <w:rPr>
          <w:rFonts w:hAnsi="Times New Roman" w:cs="Times New Roman"/>
          <w:noProof/>
        </w:rPr>
      </w:pPr>
      <w:r>
        <w:rPr>
          <w:rFonts w:hAnsi="Times New Roman" w:cs="Times New Roman"/>
          <w:noProof/>
        </w:rPr>
        <w:t>Úplná harmonizace autorského práva v EU formou jednotné právní úpravy by vyžadovala podstatně změnit způsob fungování současných pravidel. Oblasti, které byly doposud ponechány na rozhodnutí vnitrostátních zákonodárců, by musely být harmonizovány. Jednotné uplatňování pravidel by vyžadovalo jedinou jurisdikci v oblasti autorského práva s vlastním soudem, aby nekonsistentní judikatura nevedla k roztříštěnosti.</w:t>
      </w:r>
    </w:p>
    <w:p w:rsidR="009B25B5" w:rsidRDefault="000F1CFC">
      <w:pPr>
        <w:pStyle w:val="Body"/>
        <w:jc w:val="both"/>
        <w:rPr>
          <w:rFonts w:hAnsi="Times New Roman" w:cs="Times New Roman"/>
          <w:noProof/>
        </w:rPr>
      </w:pPr>
      <w:r>
        <w:rPr>
          <w:rFonts w:hAnsi="Times New Roman" w:cs="Times New Roman"/>
          <w:noProof/>
        </w:rPr>
        <w:t>Tyto problémy však nemohou být důvodem k tomu, abychom na tuto vizi jako na dlouhodobý cíl rezignovali. Bez ohledu na zvláštnosti autorského práva a jeho vazbu na národní kultury, je třeba pamatovat na to, že obtíže a dlouhý časový rámec doprovázely také vytváření jednotné právní úpravy a jednotných souborů pravidel v ostatních oblastech duševního vlastnictví, zejména v oblasti ochranných známek a patentů, kde jsou nyní realitou.</w:t>
      </w:r>
    </w:p>
    <w:p w:rsidR="009B25B5" w:rsidRDefault="000F1CFC">
      <w:pPr>
        <w:pStyle w:val="Body"/>
        <w:jc w:val="both"/>
        <w:rPr>
          <w:rFonts w:hAnsi="Times New Roman" w:cs="Times New Roman"/>
          <w:noProof/>
        </w:rPr>
      </w:pPr>
      <w:r>
        <w:rPr>
          <w:rFonts w:hAnsi="Times New Roman" w:cs="Times New Roman"/>
          <w:noProof/>
        </w:rPr>
        <w:t xml:space="preserve">EU by měla této vizi zůstat věrná ze stejného důvodu jako u společných  právních předpisů v oblasti autorského práva: vytvořit jednotný trh EU, prosperující evropské hospodářství a prostor, v němž se různá evropská kulturní, duševní a vědecká produkce pohybuje v rámci celé EU co nejsvobodněji. </w:t>
      </w:r>
    </w:p>
    <w:p w:rsidR="009B25B5" w:rsidRDefault="009B25B5">
      <w:pPr>
        <w:pStyle w:val="Body"/>
        <w:widowControl w:val="0"/>
        <w:jc w:val="both"/>
        <w:rPr>
          <w:rFonts w:hAnsi="Times New Roman" w:cs="Times New Roman"/>
          <w:noProof/>
        </w:rPr>
      </w:pPr>
    </w:p>
    <w:p w:rsidR="009B25B5" w:rsidRDefault="009B25B5">
      <w:pPr>
        <w:rPr>
          <w:rFonts w:ascii="Times New Roman" w:hAnsi="Times New Roman" w:cs="Times New Roman"/>
          <w:noProof/>
        </w:rPr>
      </w:pPr>
    </w:p>
    <w:sectPr w:rsidR="009B25B5">
      <w:headerReference w:type="even" r:id="rId23"/>
      <w:headerReference w:type="default" r:id="rId24"/>
      <w:footerReference w:type="even" r:id="rId25"/>
      <w:footerReference w:type="default" r:id="rId26"/>
      <w:headerReference w:type="first" r:id="rId27"/>
      <w:footerReference w:type="first" r:id="rId28"/>
      <w:pgSz w:w="11900" w:h="16840"/>
      <w:pgMar w:top="1200" w:right="1417" w:bottom="1417" w:left="1417" w:header="708" w:footer="29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B5" w:rsidRDefault="000F1CFC">
      <w:pPr>
        <w:spacing w:after="0" w:line="240" w:lineRule="auto"/>
      </w:pPr>
      <w:r>
        <w:separator/>
      </w:r>
    </w:p>
  </w:endnote>
  <w:endnote w:type="continuationSeparator" w:id="0">
    <w:p w:rsidR="009B25B5" w:rsidRDefault="000F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Pr="000F1CFC" w:rsidRDefault="009B25B5" w:rsidP="000F1C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0F1CFC" w:rsidRPr="00D94637" w:rsidTr="000F1CFC">
      <w:trPr>
        <w:jc w:val="center"/>
      </w:trPr>
      <w:tc>
        <w:tcPr>
          <w:tcW w:w="5000" w:type="pct"/>
          <w:gridSpan w:val="7"/>
          <w:shd w:val="clear" w:color="auto" w:fill="auto"/>
          <w:tcMar>
            <w:top w:w="57" w:type="dxa"/>
          </w:tcMar>
        </w:tcPr>
        <w:p w:rsidR="000F1CFC" w:rsidRPr="00D94637" w:rsidRDefault="000F1CFC" w:rsidP="00D94637">
          <w:pPr>
            <w:pStyle w:val="FooterText"/>
            <w:pBdr>
              <w:top w:val="single" w:sz="4" w:space="1" w:color="auto"/>
            </w:pBdr>
            <w:spacing w:before="200"/>
            <w:rPr>
              <w:sz w:val="2"/>
              <w:szCs w:val="2"/>
            </w:rPr>
          </w:pPr>
          <w:bookmarkStart w:id="3" w:name="FOOTER_STANDARD"/>
        </w:p>
      </w:tc>
    </w:tr>
    <w:tr w:rsidR="000F1CFC" w:rsidRPr="00B310DC" w:rsidTr="000F1CFC">
      <w:trPr>
        <w:jc w:val="center"/>
      </w:trPr>
      <w:tc>
        <w:tcPr>
          <w:tcW w:w="2500" w:type="pct"/>
          <w:gridSpan w:val="2"/>
          <w:shd w:val="clear" w:color="auto" w:fill="auto"/>
          <w:tcMar>
            <w:top w:w="0" w:type="dxa"/>
          </w:tcMar>
        </w:tcPr>
        <w:p w:rsidR="000F1CFC" w:rsidRPr="00AD7BF2" w:rsidRDefault="000F1CFC" w:rsidP="004F54B2">
          <w:pPr>
            <w:pStyle w:val="FooterText"/>
          </w:pPr>
          <w:r>
            <w:t>15264/15</w:t>
          </w:r>
          <w:r w:rsidRPr="002511D8">
            <w:t xml:space="preserve"> </w:t>
          </w:r>
        </w:p>
      </w:tc>
      <w:tc>
        <w:tcPr>
          <w:tcW w:w="625" w:type="pct"/>
          <w:shd w:val="clear" w:color="auto" w:fill="auto"/>
          <w:tcMar>
            <w:top w:w="0" w:type="dxa"/>
          </w:tcMar>
        </w:tcPr>
        <w:p w:rsidR="000F1CFC" w:rsidRPr="00AD7BF2" w:rsidRDefault="000F1CFC" w:rsidP="00D94637">
          <w:pPr>
            <w:pStyle w:val="FooterText"/>
            <w:jc w:val="center"/>
          </w:pPr>
        </w:p>
      </w:tc>
      <w:tc>
        <w:tcPr>
          <w:tcW w:w="1287" w:type="pct"/>
          <w:gridSpan w:val="3"/>
          <w:shd w:val="clear" w:color="auto" w:fill="auto"/>
          <w:tcMar>
            <w:top w:w="0" w:type="dxa"/>
          </w:tcMar>
        </w:tcPr>
        <w:p w:rsidR="000F1CFC" w:rsidRPr="002511D8" w:rsidRDefault="000F1CFC" w:rsidP="00D94637">
          <w:pPr>
            <w:pStyle w:val="FooterText"/>
            <w:jc w:val="center"/>
          </w:pPr>
          <w:proofErr w:type="spellStart"/>
          <w:r>
            <w:t>jhu</w:t>
          </w:r>
          <w:proofErr w:type="spellEnd"/>
        </w:p>
      </w:tc>
      <w:tc>
        <w:tcPr>
          <w:tcW w:w="588" w:type="pct"/>
          <w:shd w:val="clear" w:color="auto" w:fill="auto"/>
          <w:tcMar>
            <w:top w:w="0" w:type="dxa"/>
          </w:tcMar>
        </w:tcPr>
        <w:p w:rsidR="000F1CFC" w:rsidRPr="00B310DC" w:rsidRDefault="000F1CFC"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0F1CFC" w:rsidRPr="00D94637" w:rsidTr="000F1CFC">
      <w:trPr>
        <w:jc w:val="center"/>
      </w:trPr>
      <w:tc>
        <w:tcPr>
          <w:tcW w:w="1774" w:type="pct"/>
          <w:shd w:val="clear" w:color="auto" w:fill="auto"/>
        </w:tcPr>
        <w:p w:rsidR="000F1CFC" w:rsidRPr="00AD7BF2" w:rsidRDefault="000F1CFC" w:rsidP="00D94637">
          <w:pPr>
            <w:pStyle w:val="FooterText"/>
            <w:spacing w:before="40"/>
          </w:pPr>
        </w:p>
      </w:tc>
      <w:tc>
        <w:tcPr>
          <w:tcW w:w="1455" w:type="pct"/>
          <w:gridSpan w:val="3"/>
          <w:shd w:val="clear" w:color="auto" w:fill="auto"/>
        </w:tcPr>
        <w:p w:rsidR="000F1CFC" w:rsidRPr="00AD7BF2" w:rsidRDefault="000F1CFC" w:rsidP="00D204D6">
          <w:pPr>
            <w:pStyle w:val="FooterText"/>
            <w:spacing w:before="40"/>
            <w:jc w:val="center"/>
          </w:pPr>
          <w:r>
            <w:t>DGG 3B</w:t>
          </w:r>
        </w:p>
      </w:tc>
      <w:tc>
        <w:tcPr>
          <w:tcW w:w="1147" w:type="pct"/>
          <w:shd w:val="clear" w:color="auto" w:fill="auto"/>
        </w:tcPr>
        <w:p w:rsidR="000F1CFC" w:rsidRPr="00D94637" w:rsidRDefault="000F1CFC" w:rsidP="00D94637">
          <w:pPr>
            <w:pStyle w:val="FooterText"/>
            <w:jc w:val="right"/>
            <w:rPr>
              <w:b/>
              <w:position w:val="-4"/>
              <w:sz w:val="36"/>
            </w:rPr>
          </w:pPr>
        </w:p>
      </w:tc>
      <w:tc>
        <w:tcPr>
          <w:tcW w:w="625" w:type="pct"/>
          <w:gridSpan w:val="2"/>
          <w:shd w:val="clear" w:color="auto" w:fill="auto"/>
        </w:tcPr>
        <w:p w:rsidR="000F1CFC" w:rsidRPr="00D94637" w:rsidRDefault="000F1CFC" w:rsidP="00D94637">
          <w:pPr>
            <w:pStyle w:val="FooterText"/>
            <w:jc w:val="right"/>
            <w:rPr>
              <w:sz w:val="16"/>
            </w:rPr>
          </w:pPr>
          <w:r>
            <w:rPr>
              <w:b/>
              <w:position w:val="-4"/>
              <w:sz w:val="36"/>
            </w:rPr>
            <w:t>CS</w:t>
          </w:r>
        </w:p>
      </w:tc>
    </w:tr>
    <w:bookmarkEnd w:id="3"/>
  </w:tbl>
  <w:p w:rsidR="009B25B5" w:rsidRPr="000F1CFC" w:rsidRDefault="009B25B5" w:rsidP="000F1CF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0F1CFC" w:rsidRPr="00D94637" w:rsidTr="000F1CFC">
      <w:trPr>
        <w:jc w:val="center"/>
      </w:trPr>
      <w:tc>
        <w:tcPr>
          <w:tcW w:w="5000" w:type="pct"/>
          <w:gridSpan w:val="7"/>
          <w:shd w:val="clear" w:color="auto" w:fill="auto"/>
          <w:tcMar>
            <w:top w:w="57" w:type="dxa"/>
          </w:tcMar>
        </w:tcPr>
        <w:p w:rsidR="000F1CFC" w:rsidRPr="00D94637" w:rsidRDefault="000F1CFC" w:rsidP="00D94637">
          <w:pPr>
            <w:pStyle w:val="FooterText"/>
            <w:pBdr>
              <w:top w:val="single" w:sz="4" w:space="1" w:color="auto"/>
            </w:pBdr>
            <w:spacing w:before="200"/>
            <w:rPr>
              <w:sz w:val="2"/>
              <w:szCs w:val="2"/>
            </w:rPr>
          </w:pPr>
        </w:p>
      </w:tc>
    </w:tr>
    <w:tr w:rsidR="000F1CFC" w:rsidRPr="00B310DC" w:rsidTr="000F1CFC">
      <w:trPr>
        <w:jc w:val="center"/>
      </w:trPr>
      <w:tc>
        <w:tcPr>
          <w:tcW w:w="2500" w:type="pct"/>
          <w:gridSpan w:val="2"/>
          <w:shd w:val="clear" w:color="auto" w:fill="auto"/>
          <w:tcMar>
            <w:top w:w="0" w:type="dxa"/>
          </w:tcMar>
        </w:tcPr>
        <w:p w:rsidR="000F1CFC" w:rsidRPr="00AD7BF2" w:rsidRDefault="000F1CFC" w:rsidP="004F54B2">
          <w:pPr>
            <w:pStyle w:val="FooterText"/>
          </w:pPr>
          <w:r>
            <w:t>15264/15</w:t>
          </w:r>
          <w:r w:rsidRPr="002511D8">
            <w:t xml:space="preserve"> </w:t>
          </w:r>
        </w:p>
      </w:tc>
      <w:tc>
        <w:tcPr>
          <w:tcW w:w="625" w:type="pct"/>
          <w:shd w:val="clear" w:color="auto" w:fill="auto"/>
          <w:tcMar>
            <w:top w:w="0" w:type="dxa"/>
          </w:tcMar>
        </w:tcPr>
        <w:p w:rsidR="000F1CFC" w:rsidRPr="00AD7BF2" w:rsidRDefault="000F1CFC" w:rsidP="00D94637">
          <w:pPr>
            <w:pStyle w:val="FooterText"/>
            <w:jc w:val="center"/>
          </w:pPr>
        </w:p>
      </w:tc>
      <w:tc>
        <w:tcPr>
          <w:tcW w:w="1287" w:type="pct"/>
          <w:gridSpan w:val="3"/>
          <w:shd w:val="clear" w:color="auto" w:fill="auto"/>
          <w:tcMar>
            <w:top w:w="0" w:type="dxa"/>
          </w:tcMar>
        </w:tcPr>
        <w:p w:rsidR="000F1CFC" w:rsidRPr="002511D8" w:rsidRDefault="000F1CFC" w:rsidP="00D94637">
          <w:pPr>
            <w:pStyle w:val="FooterText"/>
            <w:jc w:val="center"/>
          </w:pPr>
          <w:proofErr w:type="spellStart"/>
          <w:r>
            <w:t>jhu</w:t>
          </w:r>
          <w:proofErr w:type="spellEnd"/>
        </w:p>
      </w:tc>
      <w:tc>
        <w:tcPr>
          <w:tcW w:w="588" w:type="pct"/>
          <w:shd w:val="clear" w:color="auto" w:fill="auto"/>
          <w:tcMar>
            <w:top w:w="0" w:type="dxa"/>
          </w:tcMar>
        </w:tcPr>
        <w:p w:rsidR="000F1CFC" w:rsidRPr="00B310DC" w:rsidRDefault="000F1CFC" w:rsidP="00D94637">
          <w:pPr>
            <w:pStyle w:val="FooterText"/>
            <w:jc w:val="right"/>
          </w:pPr>
        </w:p>
      </w:tc>
    </w:tr>
    <w:tr w:rsidR="000F1CFC" w:rsidRPr="00D94637" w:rsidTr="000F1CFC">
      <w:trPr>
        <w:jc w:val="center"/>
      </w:trPr>
      <w:tc>
        <w:tcPr>
          <w:tcW w:w="1774" w:type="pct"/>
          <w:shd w:val="clear" w:color="auto" w:fill="auto"/>
        </w:tcPr>
        <w:p w:rsidR="000F1CFC" w:rsidRPr="00AD7BF2" w:rsidRDefault="000F1CFC" w:rsidP="00D94637">
          <w:pPr>
            <w:pStyle w:val="FooterText"/>
            <w:spacing w:before="40"/>
          </w:pPr>
        </w:p>
      </w:tc>
      <w:tc>
        <w:tcPr>
          <w:tcW w:w="1455" w:type="pct"/>
          <w:gridSpan w:val="3"/>
          <w:shd w:val="clear" w:color="auto" w:fill="auto"/>
        </w:tcPr>
        <w:p w:rsidR="000F1CFC" w:rsidRPr="00AD7BF2" w:rsidRDefault="000F1CFC" w:rsidP="00D204D6">
          <w:pPr>
            <w:pStyle w:val="FooterText"/>
            <w:spacing w:before="40"/>
            <w:jc w:val="center"/>
          </w:pPr>
          <w:r>
            <w:t>DGG 3B</w:t>
          </w:r>
        </w:p>
      </w:tc>
      <w:tc>
        <w:tcPr>
          <w:tcW w:w="1147" w:type="pct"/>
          <w:shd w:val="clear" w:color="auto" w:fill="auto"/>
        </w:tcPr>
        <w:p w:rsidR="000F1CFC" w:rsidRPr="00D94637" w:rsidRDefault="000F1CFC" w:rsidP="00D94637">
          <w:pPr>
            <w:pStyle w:val="FooterText"/>
            <w:jc w:val="right"/>
            <w:rPr>
              <w:b/>
              <w:position w:val="-4"/>
              <w:sz w:val="36"/>
            </w:rPr>
          </w:pPr>
        </w:p>
      </w:tc>
      <w:tc>
        <w:tcPr>
          <w:tcW w:w="625" w:type="pct"/>
          <w:gridSpan w:val="2"/>
          <w:shd w:val="clear" w:color="auto" w:fill="auto"/>
        </w:tcPr>
        <w:p w:rsidR="000F1CFC" w:rsidRPr="00D94637" w:rsidRDefault="000F1CFC" w:rsidP="00D94637">
          <w:pPr>
            <w:pStyle w:val="FooterText"/>
            <w:jc w:val="right"/>
            <w:rPr>
              <w:sz w:val="16"/>
            </w:rPr>
          </w:pPr>
          <w:r>
            <w:rPr>
              <w:b/>
              <w:position w:val="-4"/>
              <w:sz w:val="36"/>
            </w:rPr>
            <w:t>CS</w:t>
          </w:r>
        </w:p>
      </w:tc>
    </w:tr>
  </w:tbl>
  <w:p w:rsidR="009B25B5" w:rsidRPr="000F1CFC" w:rsidRDefault="009B25B5" w:rsidP="000F1CFC">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FC" w:rsidRDefault="000F1CFC">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FC" w:rsidRDefault="000F1CFC">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t xml:space="preserve"> </w:t>
    </w:r>
    <w:r>
      <w:tab/>
    </w:r>
    <w:proofErr w:type="spellStart"/>
    <w:r>
      <w:rPr>
        <w:rFonts w:ascii="Arial" w:hAnsi="Arial" w:cs="Arial"/>
        <w:b/>
        <w:sz w:val="48"/>
      </w:rPr>
      <w:t>CS</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FC" w:rsidRDefault="000F1CFC">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Default="009B25B5">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090491"/>
      <w:docPartObj>
        <w:docPartGallery w:val="Page Numbers (Bottom of Page)"/>
        <w:docPartUnique/>
      </w:docPartObj>
    </w:sdtPr>
    <w:sdtEndPr>
      <w:rPr>
        <w:rFonts w:ascii="Times New Roman" w:hAnsi="Times New Roman" w:cs="Times New Roman"/>
        <w:noProof/>
      </w:rPr>
    </w:sdtEndPr>
    <w:sdtContent>
      <w:p w:rsidR="009B25B5" w:rsidRDefault="000F1CFC">
        <w:pPr>
          <w:pStyle w:val="Zpat"/>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9315B">
          <w:rPr>
            <w:rFonts w:ascii="Times New Roman" w:hAnsi="Times New Roman" w:cs="Times New Roman"/>
            <w:noProof/>
          </w:rPr>
          <w:t>2</w:t>
        </w:r>
        <w:r>
          <w:rPr>
            <w:rFonts w:ascii="Times New Roman" w:hAnsi="Times New Roman" w:cs="Times New Roman"/>
            <w:noProof/>
          </w:rPr>
          <w:fldChar w:fldCharType="end"/>
        </w:r>
      </w:p>
    </w:sdtContent>
  </w:sdt>
  <w:p w:rsidR="009B25B5" w:rsidRDefault="009B25B5">
    <w:pPr>
      <w:pStyle w:val="Zpat"/>
      <w:tabs>
        <w:tab w:val="clear" w:pos="9072"/>
        <w:tab w:val="right" w:pos="904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Default="009B25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B5" w:rsidRDefault="000F1CFC">
      <w:pPr>
        <w:spacing w:after="0" w:line="240" w:lineRule="auto"/>
      </w:pPr>
      <w:r>
        <w:separator/>
      </w:r>
    </w:p>
  </w:footnote>
  <w:footnote w:type="continuationSeparator" w:id="0">
    <w:p w:rsidR="009B25B5" w:rsidRDefault="000F1CFC">
      <w:pPr>
        <w:spacing w:after="0" w:line="240" w:lineRule="auto"/>
      </w:pPr>
      <w:r>
        <w:continuationSeparator/>
      </w:r>
    </w:p>
  </w:footnote>
  <w:footnote w:id="1">
    <w:p w:rsidR="009B25B5" w:rsidRDefault="000F1CFC">
      <w:pPr>
        <w:pStyle w:val="Textpoznpodarou"/>
        <w:rPr>
          <w:lang w:val="en-GB"/>
        </w:rPr>
      </w:pPr>
      <w:r>
        <w:rPr>
          <w:rStyle w:val="Znakapoznpodarou"/>
        </w:rPr>
        <w:footnoteRef/>
      </w:r>
      <w:r>
        <w:t xml:space="preserve"> </w:t>
      </w:r>
      <w:proofErr w:type="spellStart"/>
      <w:r>
        <w:t>Eurostat</w:t>
      </w:r>
      <w:proofErr w:type="spellEnd"/>
      <w:r>
        <w:t>, průzkum využívání IKT v domácnostech a jednotlivci v rámci Společenství, 2014.</w:t>
      </w:r>
    </w:p>
  </w:footnote>
  <w:footnote w:id="2">
    <w:p w:rsidR="009B25B5" w:rsidRDefault="000F1CFC">
      <w:pPr>
        <w:pStyle w:val="Textpoznpodarou"/>
        <w:jc w:val="both"/>
        <w:rPr>
          <w:lang w:val="en-GB"/>
        </w:rPr>
      </w:pPr>
      <w:r>
        <w:rPr>
          <w:vertAlign w:val="superscript"/>
        </w:rPr>
        <w:footnoteRef/>
      </w:r>
      <w:r>
        <w:t xml:space="preserve"> COM(2015) 192 </w:t>
      </w:r>
      <w:proofErr w:type="spellStart"/>
      <w:r>
        <w:t>final</w:t>
      </w:r>
      <w:proofErr w:type="spellEnd"/>
      <w:r>
        <w:t>.</w:t>
      </w:r>
    </w:p>
  </w:footnote>
  <w:footnote w:id="3">
    <w:p w:rsidR="009B25B5" w:rsidRDefault="000F1CFC">
      <w:pPr>
        <w:pStyle w:val="Textpoznpodarou"/>
      </w:pPr>
      <w:r>
        <w:rPr>
          <w:rStyle w:val="Znakapoznpodarou"/>
        </w:rPr>
        <w:footnoteRef/>
      </w:r>
      <w:r>
        <w:t xml:space="preserve"> V souladu s Úmluvou OSN o právech osob se zdravotním postižením, jíž je EU smluvní stranou.</w:t>
      </w:r>
    </w:p>
  </w:footnote>
  <w:footnote w:id="4">
    <w:p w:rsidR="009B25B5" w:rsidRDefault="000F1CFC">
      <w:pPr>
        <w:pStyle w:val="Textpoznpodarou"/>
        <w:jc w:val="both"/>
      </w:pPr>
      <w:r>
        <w:rPr>
          <w:vertAlign w:val="superscript"/>
        </w:rPr>
        <w:footnoteRef/>
      </w:r>
      <w:r>
        <w:t xml:space="preserve"> V letech 2008 až 2010 představovala odvětví, která se nejvíce podílí na vytváření a produkci děl chráněných autorským právem, 3,2 % celkové zaměstnanosti a 4,2 % HDP v EU (Evropský patentový úřad / Úřad pro harmonizaci na vnitřním trhu, „Průmyslová odvětví využívající práva duševního vlastnictví:  přínos k hospodářské výkonnosti a zaměstnanosti v EU“, září 2013).</w:t>
      </w:r>
    </w:p>
  </w:footnote>
  <w:footnote w:id="5">
    <w:p w:rsidR="009B25B5" w:rsidRDefault="000F1CFC">
      <w:pPr>
        <w:pStyle w:val="Textpoznpodarou"/>
        <w:jc w:val="both"/>
      </w:pPr>
      <w:r>
        <w:rPr>
          <w:vertAlign w:val="superscript"/>
        </w:rPr>
        <w:footnoteRef/>
      </w:r>
      <w:r>
        <w:t xml:space="preserve"> „Díly“ se v tomto dokumentu dle souvislosti rozumí díla chráněná autorským právem a jiné předměty ochrany chráněné právy s ním souvisejícími.</w:t>
      </w:r>
    </w:p>
  </w:footnote>
  <w:footnote w:id="6">
    <w:p w:rsidR="009B25B5" w:rsidRDefault="000F1CFC">
      <w:pPr>
        <w:pStyle w:val="Textpoznpodarou"/>
        <w:jc w:val="both"/>
      </w:pPr>
      <w:r>
        <w:rPr>
          <w:vertAlign w:val="superscript"/>
        </w:rPr>
        <w:footnoteRef/>
      </w:r>
      <w:r>
        <w:t xml:space="preserve"> Tento rámec tvoří soubor deseti směrnic, včetně směrnice o autorském právu v informační společnosti (2001/29/ES, „směrnice o informační společnosti“) a směrnice o dodržování práv duševního vlastnictví (2004/48/ES, směrnice IPRED týkajících se duševního vlastnictví obecně). Tento rámec rovněž odráží mezinárodní závazky vyplývající z mezinárodních smluv, jejichž stranou je EU a/nebo její členské státy.</w:t>
      </w:r>
    </w:p>
  </w:footnote>
  <w:footnote w:id="7">
    <w:p w:rsidR="009B25B5" w:rsidRDefault="000F1CFC">
      <w:pPr>
        <w:pStyle w:val="Textpoznpodarou"/>
        <w:jc w:val="both"/>
      </w:pPr>
      <w:r>
        <w:rPr>
          <w:vertAlign w:val="superscript"/>
        </w:rPr>
        <w:footnoteRef/>
      </w:r>
      <w:r>
        <w:t xml:space="preserve"> Závěrečná zpráva je k dispozici na adrese</w:t>
      </w:r>
    </w:p>
    <w:p w:rsidR="009B25B5" w:rsidRDefault="0009315B">
      <w:pPr>
        <w:pStyle w:val="Textpoznpodarou"/>
        <w:jc w:val="both"/>
      </w:pPr>
      <w:hyperlink r:id="rId1">
        <w:r w:rsidR="000F1CFC">
          <w:rPr>
            <w:rStyle w:val="Hyperlink0"/>
          </w:rPr>
          <w:t>http://ec.europa.eu/internal_market/consultations/2013/copyright-rules/docs/contributions/consultation-report_en.pdf</w:t>
        </w:r>
      </w:hyperlink>
      <w:r w:rsidR="000F1CFC">
        <w:t>.</w:t>
      </w:r>
    </w:p>
  </w:footnote>
  <w:footnote w:id="8">
    <w:p w:rsidR="009B25B5" w:rsidRDefault="000F1CFC">
      <w:pPr>
        <w:pStyle w:val="Textpoznpodarou"/>
        <w:jc w:val="both"/>
        <w:rPr>
          <w:rStyle w:val="Hyperlink0"/>
        </w:rPr>
      </w:pPr>
      <w:r>
        <w:rPr>
          <w:vertAlign w:val="superscript"/>
        </w:rPr>
        <w:footnoteRef/>
      </w:r>
      <w:r>
        <w:t xml:space="preserve"> </w:t>
      </w:r>
      <w:hyperlink r:id="rId2">
        <w:r>
          <w:rPr>
            <w:rStyle w:val="Hyperlink0"/>
          </w:rPr>
          <w:t>http://www.europarl.europa.eu/sides/getDoc.do?type=TA&amp;reference=P8-TA-2015-0273&amp;language=EN</w:t>
        </w:r>
      </w:hyperlink>
    </w:p>
  </w:footnote>
  <w:footnote w:id="9">
    <w:p w:rsidR="009B25B5" w:rsidRDefault="000F1CFC">
      <w:pPr>
        <w:pStyle w:val="Textpoznpodarou"/>
        <w:jc w:val="both"/>
        <w:rPr>
          <w:rStyle w:val="Hyperlink0"/>
        </w:rPr>
      </w:pPr>
      <w:r>
        <w:rPr>
          <w:vertAlign w:val="superscript"/>
        </w:rPr>
        <w:footnoteRef/>
      </w:r>
      <w:r>
        <w:t xml:space="preserve"> </w:t>
      </w:r>
      <w:hyperlink r:id="rId3">
        <w:r>
          <w:rPr>
            <w:rStyle w:val="Hyperlink0"/>
          </w:rPr>
          <w:t>http://data.consilium.europa.eu/doc/document/ST-22-2015-INIT/en/pdf</w:t>
        </w:r>
      </w:hyperlink>
    </w:p>
  </w:footnote>
  <w:footnote w:id="10">
    <w:p w:rsidR="009B25B5" w:rsidRDefault="000F1CFC">
      <w:pPr>
        <w:pStyle w:val="Textpoznpodarou"/>
        <w:jc w:val="both"/>
      </w:pPr>
      <w:r>
        <w:rPr>
          <w:rStyle w:val="Znakapoznpodarou"/>
        </w:rPr>
        <w:footnoteRef/>
      </w:r>
      <w:r>
        <w:t xml:space="preserve"> V nedávném průzkumu 33 % respondentů (u věkové skupiny 15 až 24 let dokonce 65 %), kteří v současnosti nemají předplacenu službu pro přístup k obsahu, uvedlo, že u předplatného by pro ně bylo důležité, aby ho mohli využívat i na cestách nebo při dočasných pobytech v jiném členském státě („bleskový průzkum </w:t>
      </w:r>
      <w:proofErr w:type="spellStart"/>
      <w:r>
        <w:t>Eurobarometr</w:t>
      </w:r>
      <w:proofErr w:type="spellEnd"/>
      <w:r>
        <w:t xml:space="preserve"> 411 – přeshraniční přístup k internetovému obsahu“, srpen 2015).</w:t>
      </w:r>
    </w:p>
  </w:footnote>
  <w:footnote w:id="11">
    <w:p w:rsidR="009B25B5" w:rsidRDefault="000F1CFC">
      <w:pPr>
        <w:pStyle w:val="Textpoznpodarou"/>
        <w:jc w:val="both"/>
        <w:rPr>
          <w:rFonts w:eastAsia="Arial Unicode MS"/>
        </w:rPr>
      </w:pPr>
      <w:r>
        <w:rPr>
          <w:vertAlign w:val="superscript"/>
        </w:rPr>
        <w:footnoteRef/>
      </w:r>
      <w:r>
        <w:t xml:space="preserve"> Ze studie provedené na vzorku 50 evropských filmů od šesti poskytovatelů on-line služeb v sedmi členských státech vyplynulo, že průměrná dostupnost dosáhla pouze 19 % (výpočty Komise vychází z údajů v „</w:t>
      </w:r>
      <w:proofErr w:type="spellStart"/>
      <w:r>
        <w:t>Annex</w:t>
      </w:r>
      <w:proofErr w:type="spellEnd"/>
      <w:r>
        <w:t xml:space="preserve"> — On-</w:t>
      </w:r>
      <w:proofErr w:type="spellStart"/>
      <w:r>
        <w:t>demand</w:t>
      </w:r>
      <w:proofErr w:type="spellEnd"/>
      <w:r>
        <w:t xml:space="preserve"> </w:t>
      </w:r>
      <w:proofErr w:type="spellStart"/>
      <w:r>
        <w:t>audiovisual</w:t>
      </w:r>
      <w:proofErr w:type="spellEnd"/>
      <w:r>
        <w:t xml:space="preserve"> </w:t>
      </w:r>
      <w:proofErr w:type="spellStart"/>
      <w:r>
        <w:t>markets</w:t>
      </w:r>
      <w:proofErr w:type="spellEnd"/>
      <w:r>
        <w:t xml:space="preserve"> in </w:t>
      </w:r>
      <w:proofErr w:type="spellStart"/>
      <w:r>
        <w:t>the</w:t>
      </w:r>
      <w:proofErr w:type="spellEnd"/>
      <w:r>
        <w:t xml:space="preserve"> EU“, zpráva Evropské audiovizuální observatoře pro GŘ CONNECT, duben 2014).</w:t>
      </w:r>
    </w:p>
  </w:footnote>
  <w:footnote w:id="12">
    <w:p w:rsidR="009B25B5" w:rsidRDefault="000F1CFC">
      <w:pPr>
        <w:pStyle w:val="Textpoznpodarou"/>
        <w:contextualSpacing/>
        <w:jc w:val="both"/>
      </w:pPr>
      <w:r>
        <w:rPr>
          <w:vertAlign w:val="superscript"/>
        </w:rPr>
        <w:footnoteRef/>
      </w:r>
      <w:r>
        <w:t xml:space="preserve"> V nedávném průzkumu více než polovina (53 %) respondentů, kteří se pokoušeli o přístup k digitálnímu obsahu nabízenému on-line službou určenou uživatelům v jiném členském státě nebo se pokoušeli si tento obsah stáhnout (v jednom členském státě až 30 % uživatelů) uvedla, že tak činili, protože hledali obsah, který není v jejich vlastní zemi dostupný. Přibližně stejná část respondentů (56 %) uvedla, že se při tom setkala s problémy („bleskový průzkum </w:t>
      </w:r>
      <w:proofErr w:type="spellStart"/>
      <w:r>
        <w:t>Eurobarometr</w:t>
      </w:r>
      <w:proofErr w:type="spellEnd"/>
      <w:r>
        <w:t xml:space="preserve"> 411 – přeshraniční přístup k internetovému obsahu“, srpen 2015).</w:t>
      </w:r>
    </w:p>
  </w:footnote>
  <w:footnote w:id="13">
    <w:p w:rsidR="009B25B5" w:rsidRDefault="000F1CFC">
      <w:pPr>
        <w:pStyle w:val="Textpoznpodarou"/>
        <w:jc w:val="both"/>
      </w:pPr>
      <w:r>
        <w:rPr>
          <w:rStyle w:val="Znakapoznpodarou"/>
        </w:rPr>
        <w:footnoteRef/>
      </w:r>
      <w:r>
        <w:t xml:space="preserve"> Podle nedávného průzkumu se 22 % Evropanů domnívá, že nelegální stahování obsahu chráněného autorským právem nebo přístup k takovému obsahu jsou přijatelné, pokud v jejich zemi není dostupná žádná legální alternativa (Úřad pro harmonizaci na vnitřním trhu, „Evropští občané a duševní vlastnictví: Vnímání, informovanost a chování“, listopad 2013). </w:t>
      </w:r>
    </w:p>
  </w:footnote>
  <w:footnote w:id="14">
    <w:p w:rsidR="009B25B5" w:rsidRDefault="000F1CFC">
      <w:pPr>
        <w:pStyle w:val="Textpoznpodarou"/>
        <w:jc w:val="both"/>
      </w:pPr>
      <w:r>
        <w:rPr>
          <w:vertAlign w:val="superscript"/>
        </w:rPr>
        <w:footnoteRef/>
      </w:r>
      <w:r>
        <w:t xml:space="preserve"> Práva autorů a jiných nositelů práv (výkonní umělci, producenti a subjekty vysílání) jsou na úrovni EU do značné míry harmonizována. Autorské právo však zůstává teritoriální. To znamená, že místo jednotné právní úpravy v oblasti autorského práva platné současně v celé EU existuje 28 samostatných vnitrostátních právních úprav. Užití díla ve všech členských státech vyžaduje uzavření jedné nebo několika licencí, z nichž každá pokrývá jednotlivá vnitrostátní území. </w:t>
      </w:r>
    </w:p>
  </w:footnote>
  <w:footnote w:id="15">
    <w:p w:rsidR="009B25B5" w:rsidRDefault="000F1CFC">
      <w:pPr>
        <w:pStyle w:val="Textpoznpodarou"/>
        <w:jc w:val="both"/>
      </w:pPr>
      <w:r>
        <w:rPr>
          <w:vertAlign w:val="superscript"/>
        </w:rPr>
        <w:footnoteRef/>
      </w:r>
      <w:r>
        <w:t xml:space="preserve"> Poskytování licencí pro více území mělo být zjednodušeno pomocí směrnice o správě kolektivních práv (2014/26/EU).</w:t>
      </w:r>
    </w:p>
  </w:footnote>
  <w:footnote w:id="16">
    <w:p w:rsidR="009B25B5" w:rsidRDefault="000F1CFC">
      <w:pPr>
        <w:pStyle w:val="Textpoznpodarou"/>
        <w:jc w:val="both"/>
      </w:pPr>
      <w:r>
        <w:rPr>
          <w:vertAlign w:val="superscript"/>
        </w:rPr>
        <w:footnoteRef/>
      </w:r>
      <w:r>
        <w:t xml:space="preserve"> Směrnice o družicovém vysílání a kabelovém přenosu (93/83/EHS).</w:t>
      </w:r>
    </w:p>
  </w:footnote>
  <w:footnote w:id="17">
    <w:p w:rsidR="009B25B5" w:rsidRDefault="000F1CFC">
      <w:pPr>
        <w:pStyle w:val="Textpoznpodarou"/>
        <w:jc w:val="both"/>
      </w:pPr>
      <w:r>
        <w:rPr>
          <w:vertAlign w:val="superscript"/>
        </w:rPr>
        <w:footnoteRef/>
      </w:r>
      <w:r>
        <w:t xml:space="preserve"> Komise kromě toho jako součást posouzení směrnice o audiovizuálních mediálních službách (2010/13/EU) prověřuje způsoby, jak podpořit evropský audiovizuální obsah, včetně jiného než vnitrostátního obsahu.</w:t>
      </w:r>
    </w:p>
  </w:footnote>
  <w:footnote w:id="18">
    <w:p w:rsidR="009B25B5" w:rsidRDefault="000F1CFC">
      <w:pPr>
        <w:pStyle w:val="Textpoznpodarou"/>
        <w:jc w:val="both"/>
      </w:pPr>
      <w:r>
        <w:rPr>
          <w:vertAlign w:val="superscript"/>
        </w:rPr>
        <w:footnoteRef/>
      </w:r>
      <w:r>
        <w:t xml:space="preserve"> To je předmětem programu EU „Kreativní Evropa“ (zejména jeho dílčího programu MEDIA), který se zaměřuje na propagaci a distribuci.</w:t>
      </w:r>
    </w:p>
  </w:footnote>
  <w:footnote w:id="19">
    <w:p w:rsidR="009B25B5" w:rsidRDefault="000F1CFC">
      <w:pPr>
        <w:pStyle w:val="Textpoznpodarou"/>
        <w:jc w:val="both"/>
      </w:pPr>
      <w:r>
        <w:rPr>
          <w:vertAlign w:val="superscript"/>
        </w:rPr>
        <w:footnoteRef/>
      </w:r>
      <w:r>
        <w:t xml:space="preserve"> Evropská audiovizuální observatoř, „Veřejné financování filmových a audiovizuálních děl v Evropě“, říjen 2011. Tento údaj se vztahuje k roku 2009 a zahrnuje pouze přímou podporu (včetně podpory na úrovni EU, která však byla jen zlomkem celkové podpory).</w:t>
      </w:r>
    </w:p>
  </w:footnote>
  <w:footnote w:id="20">
    <w:p w:rsidR="009B25B5" w:rsidRDefault="000F1CFC">
      <w:pPr>
        <w:pStyle w:val="Textpoznpodarou"/>
        <w:jc w:val="both"/>
      </w:pPr>
      <w:r>
        <w:rPr>
          <w:rStyle w:val="Znakapoznpodarou"/>
        </w:rPr>
        <w:footnoteRef/>
      </w:r>
      <w:r>
        <w:t xml:space="preserve"> Ve spolupráci s Evropským střediskem pro sledování porušování práv duševního vlastnictví.</w:t>
      </w:r>
    </w:p>
  </w:footnote>
  <w:footnote w:id="21">
    <w:p w:rsidR="009B25B5" w:rsidRDefault="000F1CFC">
      <w:pPr>
        <w:pStyle w:val="Textpoznpodarou"/>
        <w:jc w:val="both"/>
      </w:pPr>
      <w:r>
        <w:rPr>
          <w:rStyle w:val="Znakapoznpodarou"/>
        </w:rPr>
        <w:footnoteRef/>
      </w:r>
      <w:r>
        <w:t xml:space="preserve"> Právní předpisy EU stanoví pouze dvě povinné výjimky: v čl. 5 odst. 1 směrnice o informační společnosti, která se vztahuje na dočasné úkony rozmnožení, a v článku 6 směrnice o některých povolených způsobech užití osiřelých děl (2012/28/EU).  </w:t>
      </w:r>
    </w:p>
  </w:footnote>
  <w:footnote w:id="22">
    <w:p w:rsidR="009B25B5" w:rsidRDefault="000F1CFC">
      <w:pPr>
        <w:pStyle w:val="Textpoznpodarou"/>
        <w:jc w:val="both"/>
      </w:pPr>
      <w:r>
        <w:rPr>
          <w:vertAlign w:val="superscript"/>
        </w:rPr>
        <w:footnoteRef/>
      </w:r>
      <w:r>
        <w:t xml:space="preserve"> Judikatura Soudního dvora EU opakovaně uznala, že členské státy musí vykonávat své diskreční pravomoci při provádění výjimek ve svých vnitrostátních právních předpisech v mezích stanovených právními předpisy EU. Členské státy zejména nemohou svobodně stanovit meze dané výjimky nejednotným a neharmonizovaným způsobem a v různých členských státech různě (věc C-467/08, </w:t>
      </w:r>
      <w:proofErr w:type="spellStart"/>
      <w:r>
        <w:t>Padawan</w:t>
      </w:r>
      <w:proofErr w:type="spellEnd"/>
      <w:r>
        <w:t xml:space="preserve">). Soudní dvůr rovněž uvedl, že i když musí být výjimky vykládány restriktivně, musí členské státy zaručit jejich účinnost s cílem umožnit dodržení účelu výjimky (věc C-145/10 </w:t>
      </w:r>
      <w:proofErr w:type="spellStart"/>
      <w:r>
        <w:t>Painer</w:t>
      </w:r>
      <w:proofErr w:type="spellEnd"/>
      <w:r>
        <w:t>).</w:t>
      </w:r>
    </w:p>
  </w:footnote>
  <w:footnote w:id="23">
    <w:p w:rsidR="009B25B5" w:rsidRDefault="000F1CFC">
      <w:pPr>
        <w:pStyle w:val="Textpoznpodarou"/>
        <w:jc w:val="both"/>
      </w:pPr>
      <w:r>
        <w:rPr>
          <w:vertAlign w:val="superscript"/>
        </w:rPr>
        <w:footnoteRef/>
      </w:r>
      <w:r>
        <w:t xml:space="preserve"> V průzkumu prováděném na vysokých školách v roce 2013 uvedlo 82 % institucí, že nabízejí on-line kurzy, a 40 % odhadovalo, že alespoň polovina jejich studentů se účastnila elektronického učení (Sdružení evropských univerzit, „E-</w:t>
      </w:r>
      <w:proofErr w:type="spellStart"/>
      <w:r>
        <w:t>learning</w:t>
      </w:r>
      <w:proofErr w:type="spellEnd"/>
      <w:r>
        <w:t xml:space="preserve"> in </w:t>
      </w:r>
      <w:proofErr w:type="spellStart"/>
      <w:r>
        <w:t>European</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Institutions</w:t>
      </w:r>
      <w:proofErr w:type="spellEnd"/>
      <w:r>
        <w:t>“, listopad 2014).</w:t>
      </w:r>
    </w:p>
  </w:footnote>
  <w:footnote w:id="24">
    <w:p w:rsidR="009B25B5" w:rsidRDefault="000F1CFC">
      <w:pPr>
        <w:pStyle w:val="Textpoznpodarou"/>
        <w:jc w:val="both"/>
      </w:pPr>
      <w:r>
        <w:rPr>
          <w:vertAlign w:val="superscript"/>
        </w:rPr>
        <w:footnoteRef/>
      </w:r>
      <w:r>
        <w:t xml:space="preserve"> Marrákešská smlouva o usnadnění přístupu k publikovaným dílům nevidomým a zrakově postiženým osobám či osobám s jinými poruchami čtení podepsaná jménem EU v dubnu 2014.</w:t>
      </w:r>
    </w:p>
  </w:footnote>
  <w:footnote w:id="25">
    <w:p w:rsidR="009B25B5" w:rsidRDefault="000F1CFC">
      <w:pPr>
        <w:pStyle w:val="Textpoznpodarou"/>
        <w:jc w:val="both"/>
      </w:pPr>
      <w:r>
        <w:rPr>
          <w:vertAlign w:val="superscript"/>
        </w:rPr>
        <w:footnoteRef/>
      </w:r>
      <w:r>
        <w:t xml:space="preserve"> 90 % institucionálních respondentů v průzkumu z roku 2015 uvedlo, že mají sbírky, které je třeba zachovat pro budoucí generace, a v průměrů 60 % uvedlo, že sbírají materiály vytvořené v digitálním formátu (ENUMERATE, „</w:t>
      </w:r>
      <w:proofErr w:type="spellStart"/>
      <w:r>
        <w:t>Survey</w:t>
      </w:r>
      <w:proofErr w:type="spellEnd"/>
      <w:r>
        <w:t xml:space="preserve"> Report on </w:t>
      </w:r>
      <w:proofErr w:type="spellStart"/>
      <w:r>
        <w:t>Digitisation</w:t>
      </w:r>
      <w:proofErr w:type="spellEnd"/>
      <w:r>
        <w:t xml:space="preserve"> in </w:t>
      </w:r>
      <w:proofErr w:type="spellStart"/>
      <w:r>
        <w:t>European</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Institutions</w:t>
      </w:r>
      <w:proofErr w:type="spellEnd"/>
      <w:r>
        <w:t xml:space="preserve"> 2015“,  červen 2015).</w:t>
      </w:r>
    </w:p>
  </w:footnote>
  <w:footnote w:id="26">
    <w:p w:rsidR="009B25B5" w:rsidRDefault="000F1CFC">
      <w:pPr>
        <w:pStyle w:val="Textpoznpodarou"/>
        <w:jc w:val="both"/>
      </w:pPr>
      <w:r>
        <w:rPr>
          <w:rStyle w:val="Znakapoznpodarou"/>
        </w:rPr>
        <w:footnoteRef/>
      </w:r>
      <w:r>
        <w:t xml:space="preserve"> „Třístupňový test“ zakotvený v hlavních mezinárodních smlouvách týkajících se autorského práva stanoví, že výjimky mohou být použity pouze v určitých zvláštních případech, které nejsou v rozporu s běžným způsobem užití díla nebo jiného předmětu ochrany a nejsou jimi nepřiměřeně dotčeny oprávněné zájmy autora nebo nositele práv.</w:t>
      </w:r>
    </w:p>
  </w:footnote>
  <w:footnote w:id="27">
    <w:p w:rsidR="009B25B5" w:rsidRDefault="000F1CFC">
      <w:pPr>
        <w:pStyle w:val="Textpoznpodarou"/>
        <w:jc w:val="both"/>
      </w:pPr>
      <w:r>
        <w:rPr>
          <w:vertAlign w:val="superscript"/>
        </w:rPr>
        <w:footnoteRef/>
      </w:r>
      <w:r>
        <w:t xml:space="preserve"> Byla výsledkem mediačního řízení pod vedením Antónia </w:t>
      </w:r>
      <w:proofErr w:type="spellStart"/>
      <w:r>
        <w:t>Vitorina</w:t>
      </w:r>
      <w:proofErr w:type="spellEnd"/>
      <w:r>
        <w:t>.</w:t>
      </w:r>
    </w:p>
  </w:footnote>
  <w:footnote w:id="28">
    <w:p w:rsidR="009B25B5" w:rsidRDefault="000F1CFC">
      <w:pPr>
        <w:pStyle w:val="Textpoznpodarou"/>
        <w:jc w:val="both"/>
      </w:pPr>
      <w:r>
        <w:rPr>
          <w:vertAlign w:val="superscript"/>
        </w:rPr>
        <w:footnoteRef/>
      </w:r>
      <w:r>
        <w:t xml:space="preserve"> Tato nejistota vyvolala řadu otázek, které byly postoupeny Soudnímu dvoru EU k vydání rozhodnutí o předběžné otázce.</w:t>
      </w:r>
    </w:p>
  </w:footnote>
  <w:footnote w:id="29">
    <w:p w:rsidR="009B25B5" w:rsidRDefault="000F1CFC">
      <w:pPr>
        <w:pStyle w:val="Textpoznpodarou"/>
      </w:pPr>
      <w:r>
        <w:rPr>
          <w:vertAlign w:val="superscript"/>
        </w:rPr>
        <w:footnoteRef/>
      </w:r>
      <w:r>
        <w:t xml:space="preserve"> Směrnice 2000/31/ES.</w:t>
      </w:r>
    </w:p>
  </w:footnote>
  <w:footnote w:id="30">
    <w:p w:rsidR="009B25B5" w:rsidRDefault="000F1CFC">
      <w:pPr>
        <w:pStyle w:val="Textpoznpodarou"/>
        <w:rPr>
          <w:rStyle w:val="Hyperlink0"/>
        </w:rPr>
      </w:pPr>
      <w:r>
        <w:rPr>
          <w:vertAlign w:val="superscript"/>
        </w:rPr>
        <w:footnoteRef/>
      </w:r>
      <w:r>
        <w:t xml:space="preserve"> Komise vede konzultaci o těchto a dalších otázkách týkajících se on-line platforem: </w:t>
      </w:r>
      <w:hyperlink r:id="rId4">
        <w:r>
          <w:rPr>
            <w:rStyle w:val="Hyperlink0"/>
          </w:rPr>
          <w:t>https://ec.europa.eu/eusurvey/runner/Platforms</w:t>
        </w:r>
      </w:hyperlink>
      <w:r>
        <w:rPr>
          <w:rStyle w:val="Hyperlink0"/>
        </w:rPr>
        <w:t>.</w:t>
      </w:r>
    </w:p>
  </w:footnote>
  <w:footnote w:id="31">
    <w:p w:rsidR="009B25B5" w:rsidRDefault="000F1CFC">
      <w:pPr>
        <w:pStyle w:val="Textpoznpodarou"/>
        <w:jc w:val="both"/>
      </w:pPr>
      <w:r>
        <w:rPr>
          <w:vertAlign w:val="superscript"/>
        </w:rPr>
        <w:footnoteRef/>
      </w:r>
      <w:r>
        <w:t xml:space="preserve"> Právní rámec EU pro vymáhání autorských práv v digitálním prostředí je stanoven ve směrnici o dodržování práv duševního vlastnictví a v některých ustanoveních směrnice o informační společnosti.</w:t>
      </w:r>
    </w:p>
  </w:footnote>
  <w:footnote w:id="32">
    <w:p w:rsidR="009B25B5" w:rsidRDefault="000F1CFC">
      <w:pPr>
        <w:pStyle w:val="Textpoznpodarou"/>
        <w:jc w:val="both"/>
        <w:rPr>
          <w:lang w:val="pt-PT"/>
        </w:rPr>
      </w:pPr>
      <w:r>
        <w:rPr>
          <w:vertAlign w:val="superscript"/>
        </w:rPr>
        <w:footnoteRef/>
      </w:r>
      <w:r>
        <w:t xml:space="preserve"> COM(2013) 209 </w:t>
      </w:r>
      <w:proofErr w:type="spellStart"/>
      <w:r>
        <w:t>final</w:t>
      </w:r>
      <w:proofErr w:type="spellEnd"/>
      <w:r>
        <w:t>.</w:t>
      </w:r>
    </w:p>
  </w:footnote>
  <w:footnote w:id="33">
    <w:p w:rsidR="009B25B5" w:rsidRDefault="000F1CFC">
      <w:pPr>
        <w:pStyle w:val="Textpoznpodarou"/>
        <w:rPr>
          <w:lang w:val="pt-PT"/>
        </w:rPr>
      </w:pPr>
      <w:r>
        <w:rPr>
          <w:rStyle w:val="Znakapoznpodarou"/>
        </w:rPr>
        <w:footnoteRef/>
      </w:r>
      <w:r>
        <w:t xml:space="preserve"> </w:t>
      </w:r>
      <w:hyperlink r:id="rId5">
        <w:r>
          <w:rPr>
            <w:rStyle w:val="Hypertextovodkaz"/>
          </w:rPr>
          <w:t>http://ec.europa.eu/growth/tools-databases/newsroom/cf/itemdetail.cfm?item_id=8580</w:t>
        </w:r>
      </w:hyperlink>
      <w:r>
        <w:t>.</w:t>
      </w:r>
    </w:p>
  </w:footnote>
  <w:footnote w:id="34">
    <w:p w:rsidR="009B25B5" w:rsidRDefault="000F1CFC">
      <w:pPr>
        <w:pStyle w:val="Textpoznpodarou"/>
        <w:jc w:val="both"/>
        <w:rPr>
          <w:lang w:val="pt-PT"/>
        </w:rPr>
      </w:pPr>
      <w:r>
        <w:rPr>
          <w:vertAlign w:val="superscript"/>
        </w:rPr>
        <w:footnoteRef/>
      </w:r>
      <w:r>
        <w:t xml:space="preserve"> COM(2015) 550 </w:t>
      </w:r>
      <w:proofErr w:type="spellStart"/>
      <w:r>
        <w:t>final</w:t>
      </w:r>
      <w:proofErr w:type="spellEnd"/>
      <w:r>
        <w:t xml:space="preserve">. </w:t>
      </w:r>
    </w:p>
  </w:footnote>
  <w:footnote w:id="35">
    <w:p w:rsidR="009B25B5" w:rsidRDefault="000F1CFC">
      <w:pPr>
        <w:pStyle w:val="Textpoznpodarou"/>
        <w:rPr>
          <w:lang w:val="pt-PT"/>
        </w:rPr>
      </w:pPr>
      <w:r>
        <w:rPr>
          <w:rStyle w:val="Znakapoznpodarou"/>
        </w:rPr>
        <w:footnoteRef/>
      </w:r>
      <w:r>
        <w:t xml:space="preserve"> </w:t>
      </w:r>
      <w:hyperlink r:id="rId6">
        <w:r>
          <w:rPr>
            <w:rStyle w:val="Hyperlink0"/>
          </w:rPr>
          <w:t>https://ec.europa.eu/eusurvey/runner/Platforms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Pr="000F1CFC" w:rsidRDefault="009B25B5" w:rsidP="000F1C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Pr="000F1CFC" w:rsidRDefault="009B25B5" w:rsidP="000F1CF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Pr="000F1CFC" w:rsidRDefault="009B25B5" w:rsidP="000F1CF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FC" w:rsidRDefault="000F1CFC">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FC" w:rsidRDefault="000F1CFC">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FC" w:rsidRDefault="000F1CFC">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Default="009B25B5">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Default="009B25B5">
    <w:pPr>
      <w:pStyle w:val="Zhlav"/>
      <w:tabs>
        <w:tab w:val="clear" w:pos="9072"/>
        <w:tab w:val="right" w:pos="9046"/>
      </w:tabs>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B5" w:rsidRDefault="009B25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C17CA"/>
    <w:multiLevelType w:val="multilevel"/>
    <w:tmpl w:val="BF3E4E84"/>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48B91CE0"/>
    <w:multiLevelType w:val="hybridMultilevel"/>
    <w:tmpl w:val="0914891C"/>
    <w:lvl w:ilvl="0" w:tplc="16643C24">
      <w:start w:val="1"/>
      <w:numFmt w:val="bullet"/>
      <w:lvlText w:val=""/>
      <w:lvlJc w:val="left"/>
      <w:pPr>
        <w:ind w:left="720" w:hanging="360"/>
      </w:pPr>
      <w:rPr>
        <w:rFonts w:ascii="Symbol" w:hAnsi="Symbol" w:hint="default"/>
      </w:rPr>
    </w:lvl>
    <w:lvl w:ilvl="1" w:tplc="95F2D7E8" w:tentative="1">
      <w:start w:val="1"/>
      <w:numFmt w:val="bullet"/>
      <w:lvlText w:val="o"/>
      <w:lvlJc w:val="left"/>
      <w:pPr>
        <w:ind w:left="1440" w:hanging="360"/>
      </w:pPr>
      <w:rPr>
        <w:rFonts w:ascii="Courier New" w:hAnsi="Courier New" w:cs="Courier New" w:hint="default"/>
      </w:rPr>
    </w:lvl>
    <w:lvl w:ilvl="2" w:tplc="8D100F74" w:tentative="1">
      <w:start w:val="1"/>
      <w:numFmt w:val="bullet"/>
      <w:lvlText w:val=""/>
      <w:lvlJc w:val="left"/>
      <w:pPr>
        <w:ind w:left="2160" w:hanging="360"/>
      </w:pPr>
      <w:rPr>
        <w:rFonts w:ascii="Wingdings" w:hAnsi="Wingdings" w:hint="default"/>
      </w:rPr>
    </w:lvl>
    <w:lvl w:ilvl="3" w:tplc="3D02DAA6" w:tentative="1">
      <w:start w:val="1"/>
      <w:numFmt w:val="bullet"/>
      <w:lvlText w:val=""/>
      <w:lvlJc w:val="left"/>
      <w:pPr>
        <w:ind w:left="2880" w:hanging="360"/>
      </w:pPr>
      <w:rPr>
        <w:rFonts w:ascii="Symbol" w:hAnsi="Symbol" w:hint="default"/>
      </w:rPr>
    </w:lvl>
    <w:lvl w:ilvl="4" w:tplc="C2B67A4A" w:tentative="1">
      <w:start w:val="1"/>
      <w:numFmt w:val="bullet"/>
      <w:lvlText w:val="o"/>
      <w:lvlJc w:val="left"/>
      <w:pPr>
        <w:ind w:left="3600" w:hanging="360"/>
      </w:pPr>
      <w:rPr>
        <w:rFonts w:ascii="Courier New" w:hAnsi="Courier New" w:cs="Courier New" w:hint="default"/>
      </w:rPr>
    </w:lvl>
    <w:lvl w:ilvl="5" w:tplc="C9F42772" w:tentative="1">
      <w:start w:val="1"/>
      <w:numFmt w:val="bullet"/>
      <w:lvlText w:val=""/>
      <w:lvlJc w:val="left"/>
      <w:pPr>
        <w:ind w:left="4320" w:hanging="360"/>
      </w:pPr>
      <w:rPr>
        <w:rFonts w:ascii="Wingdings" w:hAnsi="Wingdings" w:hint="default"/>
      </w:rPr>
    </w:lvl>
    <w:lvl w:ilvl="6" w:tplc="AC44296E" w:tentative="1">
      <w:start w:val="1"/>
      <w:numFmt w:val="bullet"/>
      <w:lvlText w:val=""/>
      <w:lvlJc w:val="left"/>
      <w:pPr>
        <w:ind w:left="5040" w:hanging="360"/>
      </w:pPr>
      <w:rPr>
        <w:rFonts w:ascii="Symbol" w:hAnsi="Symbol" w:hint="default"/>
      </w:rPr>
    </w:lvl>
    <w:lvl w:ilvl="7" w:tplc="E7B4A4A8" w:tentative="1">
      <w:start w:val="1"/>
      <w:numFmt w:val="bullet"/>
      <w:lvlText w:val="o"/>
      <w:lvlJc w:val="left"/>
      <w:pPr>
        <w:ind w:left="5760" w:hanging="360"/>
      </w:pPr>
      <w:rPr>
        <w:rFonts w:ascii="Courier New" w:hAnsi="Courier New" w:cs="Courier New" w:hint="default"/>
      </w:rPr>
    </w:lvl>
    <w:lvl w:ilvl="8" w:tplc="63006386" w:tentative="1">
      <w:start w:val="1"/>
      <w:numFmt w:val="bullet"/>
      <w:lvlText w:val=""/>
      <w:lvlJc w:val="left"/>
      <w:pPr>
        <w:ind w:left="6480" w:hanging="360"/>
      </w:pPr>
      <w:rPr>
        <w:rFonts w:ascii="Wingdings" w:hAnsi="Wingdings" w:hint="default"/>
      </w:rPr>
    </w:lvl>
  </w:abstractNum>
  <w:abstractNum w:abstractNumId="2">
    <w:nsid w:val="52221699"/>
    <w:multiLevelType w:val="hybridMultilevel"/>
    <w:tmpl w:val="193C8A08"/>
    <w:lvl w:ilvl="0" w:tplc="866EA26C">
      <w:start w:val="1"/>
      <w:numFmt w:val="bullet"/>
      <w:lvlText w:val=""/>
      <w:lvlJc w:val="left"/>
      <w:pPr>
        <w:ind w:left="720" w:hanging="360"/>
      </w:pPr>
      <w:rPr>
        <w:rFonts w:ascii="Symbol" w:hAnsi="Symbol" w:hint="default"/>
      </w:rPr>
    </w:lvl>
    <w:lvl w:ilvl="1" w:tplc="7CE4AFF8" w:tentative="1">
      <w:start w:val="1"/>
      <w:numFmt w:val="bullet"/>
      <w:lvlText w:val="o"/>
      <w:lvlJc w:val="left"/>
      <w:pPr>
        <w:ind w:left="1440" w:hanging="360"/>
      </w:pPr>
      <w:rPr>
        <w:rFonts w:ascii="Courier New" w:hAnsi="Courier New" w:cs="Courier New" w:hint="default"/>
      </w:rPr>
    </w:lvl>
    <w:lvl w:ilvl="2" w:tplc="3560F574">
      <w:start w:val="1"/>
      <w:numFmt w:val="bullet"/>
      <w:lvlText w:val=""/>
      <w:lvlJc w:val="left"/>
      <w:pPr>
        <w:ind w:left="2160" w:hanging="360"/>
      </w:pPr>
      <w:rPr>
        <w:rFonts w:ascii="Wingdings" w:hAnsi="Wingdings" w:hint="default"/>
      </w:rPr>
    </w:lvl>
    <w:lvl w:ilvl="3" w:tplc="1CAEC834" w:tentative="1">
      <w:start w:val="1"/>
      <w:numFmt w:val="bullet"/>
      <w:lvlText w:val=""/>
      <w:lvlJc w:val="left"/>
      <w:pPr>
        <w:ind w:left="2880" w:hanging="360"/>
      </w:pPr>
      <w:rPr>
        <w:rFonts w:ascii="Symbol" w:hAnsi="Symbol" w:hint="default"/>
      </w:rPr>
    </w:lvl>
    <w:lvl w:ilvl="4" w:tplc="F402A2B8" w:tentative="1">
      <w:start w:val="1"/>
      <w:numFmt w:val="bullet"/>
      <w:lvlText w:val="o"/>
      <w:lvlJc w:val="left"/>
      <w:pPr>
        <w:ind w:left="3600" w:hanging="360"/>
      </w:pPr>
      <w:rPr>
        <w:rFonts w:ascii="Courier New" w:hAnsi="Courier New" w:cs="Courier New" w:hint="default"/>
      </w:rPr>
    </w:lvl>
    <w:lvl w:ilvl="5" w:tplc="EB583086" w:tentative="1">
      <w:start w:val="1"/>
      <w:numFmt w:val="bullet"/>
      <w:lvlText w:val=""/>
      <w:lvlJc w:val="left"/>
      <w:pPr>
        <w:ind w:left="4320" w:hanging="360"/>
      </w:pPr>
      <w:rPr>
        <w:rFonts w:ascii="Wingdings" w:hAnsi="Wingdings" w:hint="default"/>
      </w:rPr>
    </w:lvl>
    <w:lvl w:ilvl="6" w:tplc="12C69F56" w:tentative="1">
      <w:start w:val="1"/>
      <w:numFmt w:val="bullet"/>
      <w:lvlText w:val=""/>
      <w:lvlJc w:val="left"/>
      <w:pPr>
        <w:ind w:left="5040" w:hanging="360"/>
      </w:pPr>
      <w:rPr>
        <w:rFonts w:ascii="Symbol" w:hAnsi="Symbol" w:hint="default"/>
      </w:rPr>
    </w:lvl>
    <w:lvl w:ilvl="7" w:tplc="2EB2ADC8" w:tentative="1">
      <w:start w:val="1"/>
      <w:numFmt w:val="bullet"/>
      <w:lvlText w:val="o"/>
      <w:lvlJc w:val="left"/>
      <w:pPr>
        <w:ind w:left="5760" w:hanging="360"/>
      </w:pPr>
      <w:rPr>
        <w:rFonts w:ascii="Courier New" w:hAnsi="Courier New" w:cs="Courier New" w:hint="default"/>
      </w:rPr>
    </w:lvl>
    <w:lvl w:ilvl="8" w:tplc="8822EA0A" w:tentative="1">
      <w:start w:val="1"/>
      <w:numFmt w:val="bullet"/>
      <w:lvlText w:val=""/>
      <w:lvlJc w:val="left"/>
      <w:pPr>
        <w:ind w:left="6480" w:hanging="360"/>
      </w:pPr>
      <w:rPr>
        <w:rFonts w:ascii="Wingdings" w:hAnsi="Wingdings" w:hint="default"/>
      </w:rPr>
    </w:lvl>
  </w:abstractNum>
  <w:abstractNum w:abstractNumId="3">
    <w:nsid w:val="5A786614"/>
    <w:multiLevelType w:val="multilevel"/>
    <w:tmpl w:val="9622003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_EXISTS" w:val="True"/>
    <w:docVar w:name="CoverPageOnWordDoc" w:val="true"/>
    <w:docVar w:name="DocStatus" w:val="Green"/>
    <w:docVar w:name="DocuWriteMetaData" w:val="&lt;metadataset docuwriteversion=&quot;3.7.7&quot; technicalblockguid=&quot;91360706-8d34-4275-a26f-aa4d2ac52bac&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PR&amp;#366;VODNÍ POZNÁMKA&quot; /&gt;_x000d__x000a_    &lt;/basicdatatype&gt;_x000d__x000a_  &lt;/metadata&gt;_x000d__x000a_  &lt;metadata key=&quot;md_HeadingText&quot;&gt;_x000d__x000a_    &lt;headingtext text=&quot;PR&amp;#366;VODNÍ POZNÁMKA&quot;&gt;_x000d__x000a_      &lt;formattedtext&gt;_x000d__x000a_        &lt;xaml text=&quot;PR&amp;#366;VODNÍ POZNÁMKA&quot;&gt;&amp;lt;FlowDocument xmlns=&quot;http://schemas.microsoft.com/winfx/2006/xaml/presentation&quot;&amp;gt;&amp;lt;Paragraph&amp;gt;PR&amp;#366;VODNÍ POZNÁMKA&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5-12-11&lt;/text&gt;_x000d__x000a_  &lt;/metadata&gt;_x000d__x000a_  &lt;metadata key=&quot;md_Prefix&quot;&gt;_x000d__x000a_    &lt;text&gt;&lt;/text&gt;_x000d__x000a_  &lt;/metadata&gt;_x000d__x000a_  &lt;metadata key=&quot;md_DocumentNumber&quot;&gt;_x000d__x000a_    &lt;text&gt;1526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102&lt;/text&gt;_x000d__x000a_      &lt;text&gt;RECH 308&lt;/text&gt;_x000d__x000a_      &lt;text&gt;EDUC 321&lt;/text&gt;_x000d__x000a_      &lt;text&gt;COMPET 563&lt;/text&gt;_x000d__x000a_      &lt;text&gt;SAN 436&lt;/text&gt;_x000d__x000a_      &lt;text&gt;AUDIO 35&lt;/text&gt;_x000d__x000a_      &lt;text&gt;CULT 9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5-12-1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5) 626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SD&amp;#282;LENÍ KOMISE EVROPSKÉMU PARLAMENTU, RAD&amp;#282;, EVROPSKÉMU HOSPODÁ&amp;#344;SKÉMU A SOCIÁLNÍMU VÝBORU A VÝBORU REGION&amp;#366; Sm&amp;#283;&amp;#345;ování k modern&amp;#283;j&amp;#353;ímu a evrop&amp;#353;t&amp;#283;j&amp;#353;ímu rámci v oblasti autorského práva&quot;&gt;&amp;lt;FlowDocument FontFamily=&quot;Arial Unicode MS&quot; FontSize=&quot;12&quot; PageWidth=&quot;329&quot; PagePadding=&quot;0,0,0,0&quot; AllowDrop=&quot;False&quot; xmlns=&quot;http://schemas.microsoft.com/winfx/2006/xaml/presentation&quot;&amp;gt;&amp;lt;Paragraph&amp;gt;SD&amp;#282;LENÍ KOMISE EVROPSKÉMU PARLAMENTU, RAD&amp;#282;, EVROPSKÉMU HOSPODÁ&amp;#344;SKÉMU A SOCIÁLNÍMU VÝBORU&amp;lt;LineBreak /&amp;gt;A VÝBORU REGION&amp;#366;&amp;lt;LineBreak /&amp;gt;Sm&amp;#283;&amp;#345;ování k modern&amp;#283;j&amp;#353;ímu a evrop&amp;#353;t&amp;#283;j&amp;#353;ímu rámci v oblasti autorského práva&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jhu&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SD&amp;#282;LENÍ KOMISE EVROPSKÉMU PARLAMENTU, RAD&amp;#282;, EVROPSKÉMU HOSPODÁ&amp;#344;SKÉMU A SOCIÁLNÍMU VÝBORU A VÝBORU REGION&amp;#366;&lt;/text&gt;_x000d__x000a_  &lt;/metadata&gt;_x000d__x000a_  &lt;metadata key=&quot;md_SourceDocTitle&quot;&gt;_x000d__x000a_    &lt;text&gt;Sm&amp;#283;&amp;#345;ování k modern&amp;#283;j&amp;#353;ímu a evrop&amp;#353;t&amp;#283;j&amp;#353;ímu rámci v oblasti autorského práva&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LW_CONFIDENCE" w:val=" "/>
    <w:docVar w:name="LW_CONST_RESTREINT_UE" w:val="RESTREINT UE"/>
    <w:docVar w:name="LW_CORRIGENDUM" w:val="&lt;UNUSED&gt;"/>
    <w:docVar w:name="LW_COVERPAGE_GUID" w:val="7028ADF17C264C94994FD3FEE7F03DDF"/>
    <w:docVar w:name="LW_CROSSREFERENCE" w:val="&lt;UNUSED&gt;"/>
    <w:docVar w:name="LW_DocType" w:val="NORMAL"/>
    <w:docVar w:name="LW_EMISSION" w:val="9.12.2015"/>
    <w:docVar w:name="LW_EMISSION_ISODATE" w:val="2015-12-09"/>
    <w:docVar w:name="LW_EMISSION_LOCATION" w:val="BRX"/>
    <w:docVar w:name="LW_EMISSION_PREFIX" w:val="V Bruselu dne "/>
    <w:docVar w:name="LW_EMISSION_SUFFIX" w:val=" "/>
    <w:docVar w:name="LW_ID_DOCTYPE_NONLW" w:val="CP-014"/>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5) 626"/>
    <w:docVar w:name="LW_REF.INTERNE" w:val="&lt;UNUSED&gt;"/>
    <w:docVar w:name="LW_SOUS.TITRE.OBJ.CP" w:val="&lt;UNUSED&gt;"/>
    <w:docVar w:name="LW_SUPERTITRE" w:val="&lt;UNUSED&gt;"/>
    <w:docVar w:name="LW_TITRE.OBJ.CP" w:val="Sm\u283?\u345?ování k modern\u283?j\u353?ímu a evrop\u353?t\u283?j\u353?ímu rámci v oblasti autorského práva"/>
    <w:docVar w:name="LW_TYPE.DOC.CP" w:val="SD\u282?LENÍ KOMISE EVROPSKÉMU PARLAMENTU, RAD\u282?, EVROPSKÉMU HOSPODÁ\u344?SKÉMU A SOCIÁLNÍMU VÝBORU A VÝBORU REGION\u366?"/>
    <w:docVar w:name="LW_TYPE.DOC.CP.USERTEXT" w:val="&lt;EMPTY&gt;"/>
  </w:docVars>
  <w:rsids>
    <w:rsidRoot w:val="009B25B5"/>
    <w:rsid w:val="0009315B"/>
    <w:rsid w:val="000F1CFC"/>
    <w:rsid w:val="00876909"/>
    <w:rsid w:val="009B25B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r">
    <w:name w:val="Marker"/>
    <w:basedOn w:val="Standardnpsmoodstavce"/>
    <w:rsid w:val="000F1CFC"/>
    <w:rPr>
      <w:color w:val="0000FF"/>
      <w:shd w:val="clear" w:color="auto" w:fill="auto"/>
    </w:rPr>
  </w:style>
  <w:style w:type="paragraph" w:customStyle="1" w:styleId="Pagedecouverture">
    <w:name w:val="Page de couverture"/>
    <w:basedOn w:val="Normln"/>
    <w:next w:val="Normln"/>
    <w:pPr>
      <w:spacing w:after="0" w:line="240" w:lineRule="auto"/>
      <w:jc w:val="both"/>
    </w:pPr>
    <w:rPr>
      <w:rFonts w:ascii="Times New Roman" w:hAnsi="Times New Roman" w:cs="Times New Roman"/>
      <w:sz w:val="24"/>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FooterCoverPage">
    <w:name w:val="Footer Cover Page"/>
    <w:basedOn w:val="Norml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Pr>
      <w:rFonts w:ascii="Times New Roman" w:hAnsi="Times New Roman" w:cs="Times New Roman"/>
      <w:sz w:val="24"/>
    </w:rPr>
  </w:style>
  <w:style w:type="paragraph" w:customStyle="1" w:styleId="HeaderCoverPage">
    <w:name w:val="Header Cover Page"/>
    <w:basedOn w:val="Norml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npsmoodstavce"/>
    <w:link w:val="HeaderCoverPage"/>
    <w:rPr>
      <w:rFonts w:ascii="Times New Roman" w:hAnsi="Times New Roman" w:cs="Times New Roman"/>
      <w:sz w:val="24"/>
    </w:rPr>
  </w:style>
  <w:style w:type="paragraph" w:customStyle="1" w:styleId="Body">
    <w:name w:val="Body"/>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Heading">
    <w:name w:val="Heading"/>
    <w:next w:val="Body"/>
    <w:pPr>
      <w:keepNext/>
      <w:keepLines/>
      <w:pBdr>
        <w:top w:val="nil"/>
        <w:left w:val="nil"/>
        <w:bottom w:val="nil"/>
        <w:right w:val="nil"/>
        <w:between w:val="nil"/>
        <w:bar w:val="nil"/>
      </w:pBdr>
      <w:outlineLvl w:val="0"/>
    </w:pPr>
    <w:rPr>
      <w:rFonts w:ascii="Times New Roman" w:eastAsia="Arial Unicode MS" w:hAnsi="Arial Unicode MS" w:cs="Arial Unicode MS"/>
      <w:b/>
      <w:bCs/>
      <w:smallCaps/>
      <w:color w:val="000000"/>
      <w:sz w:val="24"/>
      <w:szCs w:val="24"/>
      <w:u w:color="000000"/>
      <w:bdr w:val="nil"/>
    </w:rPr>
  </w:style>
  <w:style w:type="paragraph" w:styleId="Textpoznpodarou">
    <w:name w:val="footnote text"/>
    <w:link w:val="Textpoznpodarou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color w:val="000000"/>
      <w:sz w:val="20"/>
      <w:szCs w:val="20"/>
      <w:u w:color="000000"/>
      <w:bdr w:val="nil"/>
      <w:lang w:val="cs-CZ" w:eastAsia="cs-CZ"/>
    </w:rPr>
  </w:style>
  <w:style w:type="character" w:customStyle="1" w:styleId="Hyperlink0">
    <w:name w:val="Hyperlink.0"/>
    <w:basedOn w:val="Standardnpsmoodstavce"/>
    <w:rPr>
      <w:color w:val="0000FF"/>
      <w:u w:val="single" w:color="0000FF"/>
    </w:rPr>
  </w:style>
  <w:style w:type="paragraph" w:styleId="Odstavecseseznamem">
    <w:name w:val="List Paragraph"/>
    <w:qFormat/>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rPr>
  </w:style>
  <w:style w:type="numbering" w:customStyle="1" w:styleId="List0">
    <w:name w:val="List 0"/>
    <w:basedOn w:val="Bezseznamu"/>
    <w:pPr>
      <w:numPr>
        <w:numId w:val="2"/>
      </w:numPr>
    </w:pPr>
  </w:style>
  <w:style w:type="character" w:styleId="Znakapoznpodarou">
    <w:name w:val="footnote reference"/>
    <w:aliases w:val=" BVI fnr,-E Fußnotenzeichen,Appel note de bas de p,BVI fnr,EN Footnote Reference,Footnote Reference Superscript,Footnote number,Footnote reference number,Footnote symbol,Nota,Ref,SUPERS,note TESI,number,number Char Char,styl,styli"/>
    <w:basedOn w:val="Standardnpsmoodstavce"/>
    <w:unhideWhenUsed/>
    <w:qFormat/>
    <w:rPr>
      <w:vertAlign w:val="superscript"/>
    </w:rPr>
  </w:style>
  <w:style w:type="table" w:styleId="Mkatabulky">
    <w:name w:val="Table Grid"/>
    <w:basedOn w:val="Normlntabulka"/>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TechnicalBlock">
    <w:name w:val="Technical Block"/>
    <w:basedOn w:val="Normln"/>
    <w:link w:val="TechnicalBlockChar"/>
    <w:rsid w:val="000F1CFC"/>
    <w:pPr>
      <w:spacing w:after="240"/>
      <w:jc w:val="center"/>
    </w:pPr>
  </w:style>
  <w:style w:type="character" w:customStyle="1" w:styleId="TechnicalBlockChar">
    <w:name w:val="Technical Block Char"/>
    <w:basedOn w:val="Standardnpsmoodstavce"/>
    <w:link w:val="TechnicalBlock"/>
    <w:rsid w:val="000F1CFC"/>
  </w:style>
  <w:style w:type="paragraph" w:customStyle="1" w:styleId="EntText">
    <w:name w:val="EntText"/>
    <w:basedOn w:val="Normln"/>
    <w:rsid w:val="000F1CFC"/>
    <w:pPr>
      <w:spacing w:before="120" w:after="120" w:line="360" w:lineRule="auto"/>
    </w:pPr>
    <w:rPr>
      <w:rFonts w:ascii="Times New Roman" w:eastAsia="Times New Roman" w:hAnsi="Times New Roman" w:cs="Times New Roman"/>
      <w:sz w:val="24"/>
      <w:szCs w:val="24"/>
      <w:lang w:eastAsia="en-US" w:bidi="ar-SA"/>
    </w:rPr>
  </w:style>
  <w:style w:type="paragraph" w:customStyle="1" w:styleId="Lignefinal">
    <w:name w:val="Ligne final"/>
    <w:basedOn w:val="Normln"/>
    <w:next w:val="Normln"/>
    <w:rsid w:val="000F1CFC"/>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lang w:eastAsia="en-US" w:bidi="ar-SA"/>
    </w:rPr>
  </w:style>
  <w:style w:type="paragraph" w:customStyle="1" w:styleId="pj">
    <w:name w:val="p.j."/>
    <w:basedOn w:val="Normln"/>
    <w:link w:val="pjChar"/>
    <w:rsid w:val="000F1CFC"/>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0F1CFC"/>
    <w:rPr>
      <w:rFonts w:ascii="Times New Roman" w:hAnsi="Times New Roman" w:cs="Times New Roman"/>
      <w:sz w:val="24"/>
    </w:rPr>
  </w:style>
  <w:style w:type="paragraph" w:customStyle="1" w:styleId="HeaderCouncil">
    <w:name w:val="Header Council"/>
    <w:basedOn w:val="Normln"/>
    <w:link w:val="HeaderCouncilChar"/>
    <w:rsid w:val="000F1CFC"/>
    <w:pPr>
      <w:spacing w:after="0"/>
    </w:pPr>
    <w:rPr>
      <w:rFonts w:ascii="Times New Roman" w:hAnsi="Times New Roman" w:cs="Times New Roman"/>
      <w:sz w:val="2"/>
    </w:rPr>
  </w:style>
  <w:style w:type="character" w:customStyle="1" w:styleId="HeaderCouncilChar">
    <w:name w:val="Header Council Char"/>
    <w:basedOn w:val="pjChar"/>
    <w:link w:val="HeaderCouncil"/>
    <w:rsid w:val="000F1CFC"/>
    <w:rPr>
      <w:rFonts w:ascii="Times New Roman" w:hAnsi="Times New Roman" w:cs="Times New Roman"/>
      <w:sz w:val="2"/>
    </w:rPr>
  </w:style>
  <w:style w:type="paragraph" w:customStyle="1" w:styleId="HeaderCouncilLarge">
    <w:name w:val="Header Council Large"/>
    <w:basedOn w:val="Normln"/>
    <w:link w:val="HeaderCouncilLargeChar"/>
    <w:rsid w:val="000F1CFC"/>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0F1CFC"/>
    <w:rPr>
      <w:rFonts w:ascii="Times New Roman" w:hAnsi="Times New Roman" w:cs="Times New Roman"/>
      <w:sz w:val="2"/>
    </w:rPr>
  </w:style>
  <w:style w:type="paragraph" w:customStyle="1" w:styleId="FooterCouncil">
    <w:name w:val="Footer Council"/>
    <w:basedOn w:val="Normln"/>
    <w:link w:val="FooterCouncilChar"/>
    <w:rsid w:val="000F1CFC"/>
    <w:pPr>
      <w:spacing w:after="0"/>
    </w:pPr>
    <w:rPr>
      <w:rFonts w:ascii="Times New Roman" w:hAnsi="Times New Roman" w:cs="Times New Roman"/>
      <w:sz w:val="2"/>
    </w:rPr>
  </w:style>
  <w:style w:type="character" w:customStyle="1" w:styleId="FooterCouncilChar">
    <w:name w:val="Footer Council Char"/>
    <w:basedOn w:val="pjChar"/>
    <w:link w:val="FooterCouncil"/>
    <w:rsid w:val="000F1CFC"/>
    <w:rPr>
      <w:rFonts w:ascii="Times New Roman" w:hAnsi="Times New Roman" w:cs="Times New Roman"/>
      <w:sz w:val="2"/>
    </w:rPr>
  </w:style>
  <w:style w:type="paragraph" w:customStyle="1" w:styleId="FooterText">
    <w:name w:val="Footer Text"/>
    <w:basedOn w:val="Normln"/>
    <w:rsid w:val="000F1CFC"/>
    <w:pPr>
      <w:spacing w:after="0" w:line="240" w:lineRule="auto"/>
    </w:pPr>
    <w:rPr>
      <w:rFonts w:ascii="Times New Roman" w:eastAsia="Times New Roman" w:hAnsi="Times New Roman" w:cs="Times New Roman"/>
      <w:sz w:val="24"/>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r">
    <w:name w:val="Marker"/>
    <w:basedOn w:val="Standardnpsmoodstavce"/>
    <w:rsid w:val="000F1CFC"/>
    <w:rPr>
      <w:color w:val="0000FF"/>
      <w:shd w:val="clear" w:color="auto" w:fill="auto"/>
    </w:rPr>
  </w:style>
  <w:style w:type="paragraph" w:customStyle="1" w:styleId="Pagedecouverture">
    <w:name w:val="Page de couverture"/>
    <w:basedOn w:val="Normln"/>
    <w:next w:val="Normln"/>
    <w:pPr>
      <w:spacing w:after="0" w:line="240" w:lineRule="auto"/>
      <w:jc w:val="both"/>
    </w:pPr>
    <w:rPr>
      <w:rFonts w:ascii="Times New Roman" w:hAnsi="Times New Roman" w:cs="Times New Roman"/>
      <w:sz w:val="24"/>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FooterCoverPage">
    <w:name w:val="Footer Cover Page"/>
    <w:basedOn w:val="Norml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Standardnpsmoodstavce"/>
    <w:link w:val="FooterCoverPage"/>
    <w:rPr>
      <w:rFonts w:ascii="Times New Roman" w:hAnsi="Times New Roman" w:cs="Times New Roman"/>
      <w:sz w:val="24"/>
    </w:rPr>
  </w:style>
  <w:style w:type="paragraph" w:customStyle="1" w:styleId="HeaderCoverPage">
    <w:name w:val="Header Cover Page"/>
    <w:basedOn w:val="Norml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Standardnpsmoodstavce"/>
    <w:link w:val="HeaderCoverPage"/>
    <w:rPr>
      <w:rFonts w:ascii="Times New Roman" w:hAnsi="Times New Roman" w:cs="Times New Roman"/>
      <w:sz w:val="24"/>
    </w:rPr>
  </w:style>
  <w:style w:type="paragraph" w:customStyle="1" w:styleId="Body">
    <w:name w:val="Body"/>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Heading">
    <w:name w:val="Heading"/>
    <w:next w:val="Body"/>
    <w:pPr>
      <w:keepNext/>
      <w:keepLines/>
      <w:pBdr>
        <w:top w:val="nil"/>
        <w:left w:val="nil"/>
        <w:bottom w:val="nil"/>
        <w:right w:val="nil"/>
        <w:between w:val="nil"/>
        <w:bar w:val="nil"/>
      </w:pBdr>
      <w:outlineLvl w:val="0"/>
    </w:pPr>
    <w:rPr>
      <w:rFonts w:ascii="Times New Roman" w:eastAsia="Arial Unicode MS" w:hAnsi="Arial Unicode MS" w:cs="Arial Unicode MS"/>
      <w:b/>
      <w:bCs/>
      <w:smallCaps/>
      <w:color w:val="000000"/>
      <w:sz w:val="24"/>
      <w:szCs w:val="24"/>
      <w:u w:color="000000"/>
      <w:bdr w:val="nil"/>
    </w:rPr>
  </w:style>
  <w:style w:type="paragraph" w:styleId="Textpoznpodarou">
    <w:name w:val="footnote text"/>
    <w:link w:val="TextpoznpodarouChar"/>
    <w:uiPriority w:val="9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TextpoznpodarouChar">
    <w:name w:val="Text pozn. pod čarou Char"/>
    <w:basedOn w:val="Standardnpsmoodstavce"/>
    <w:link w:val="Textpoznpodarou"/>
    <w:uiPriority w:val="99"/>
    <w:rPr>
      <w:rFonts w:ascii="Times New Roman" w:eastAsia="Times New Roman" w:hAnsi="Times New Roman" w:cs="Times New Roman"/>
      <w:color w:val="000000"/>
      <w:sz w:val="20"/>
      <w:szCs w:val="20"/>
      <w:u w:color="000000"/>
      <w:bdr w:val="nil"/>
      <w:lang w:val="cs-CZ" w:eastAsia="cs-CZ"/>
    </w:rPr>
  </w:style>
  <w:style w:type="character" w:customStyle="1" w:styleId="Hyperlink0">
    <w:name w:val="Hyperlink.0"/>
    <w:basedOn w:val="Standardnpsmoodstavce"/>
    <w:rPr>
      <w:color w:val="0000FF"/>
      <w:u w:val="single" w:color="0000FF"/>
    </w:rPr>
  </w:style>
  <w:style w:type="paragraph" w:styleId="Odstavecseseznamem">
    <w:name w:val="List Paragraph"/>
    <w:qFormat/>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rPr>
  </w:style>
  <w:style w:type="numbering" w:customStyle="1" w:styleId="List0">
    <w:name w:val="List 0"/>
    <w:basedOn w:val="Bezseznamu"/>
    <w:pPr>
      <w:numPr>
        <w:numId w:val="2"/>
      </w:numPr>
    </w:pPr>
  </w:style>
  <w:style w:type="character" w:styleId="Znakapoznpodarou">
    <w:name w:val="footnote reference"/>
    <w:aliases w:val=" BVI fnr,-E Fußnotenzeichen,Appel note de bas de p,BVI fnr,EN Footnote Reference,Footnote Reference Superscript,Footnote number,Footnote reference number,Footnote symbol,Nota,Ref,SUPERS,note TESI,number,number Char Char,styl,styli"/>
    <w:basedOn w:val="Standardnpsmoodstavce"/>
    <w:unhideWhenUsed/>
    <w:qFormat/>
    <w:rPr>
      <w:vertAlign w:val="superscript"/>
    </w:rPr>
  </w:style>
  <w:style w:type="table" w:styleId="Mkatabulky">
    <w:name w:val="Table Grid"/>
    <w:basedOn w:val="Normlntabulka"/>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styleId="Hypertextovodkaz">
    <w:name w:val="Hyperlink"/>
    <w:basedOn w:val="Standardnpsmoodstavce"/>
    <w:uiPriority w:val="99"/>
    <w:unhideWhenUsed/>
    <w:rPr>
      <w:color w:val="0000FF" w:themeColor="hyperlink"/>
      <w:u w:val="single"/>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TechnicalBlock">
    <w:name w:val="Technical Block"/>
    <w:basedOn w:val="Normln"/>
    <w:link w:val="TechnicalBlockChar"/>
    <w:rsid w:val="000F1CFC"/>
    <w:pPr>
      <w:spacing w:after="240"/>
      <w:jc w:val="center"/>
    </w:pPr>
  </w:style>
  <w:style w:type="character" w:customStyle="1" w:styleId="TechnicalBlockChar">
    <w:name w:val="Technical Block Char"/>
    <w:basedOn w:val="Standardnpsmoodstavce"/>
    <w:link w:val="TechnicalBlock"/>
    <w:rsid w:val="000F1CFC"/>
  </w:style>
  <w:style w:type="paragraph" w:customStyle="1" w:styleId="EntText">
    <w:name w:val="EntText"/>
    <w:basedOn w:val="Normln"/>
    <w:rsid w:val="000F1CFC"/>
    <w:pPr>
      <w:spacing w:before="120" w:after="120" w:line="360" w:lineRule="auto"/>
    </w:pPr>
    <w:rPr>
      <w:rFonts w:ascii="Times New Roman" w:eastAsia="Times New Roman" w:hAnsi="Times New Roman" w:cs="Times New Roman"/>
      <w:sz w:val="24"/>
      <w:szCs w:val="24"/>
      <w:lang w:eastAsia="en-US" w:bidi="ar-SA"/>
    </w:rPr>
  </w:style>
  <w:style w:type="paragraph" w:customStyle="1" w:styleId="Lignefinal">
    <w:name w:val="Ligne final"/>
    <w:basedOn w:val="Normln"/>
    <w:next w:val="Normln"/>
    <w:rsid w:val="000F1CFC"/>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lang w:eastAsia="en-US" w:bidi="ar-SA"/>
    </w:rPr>
  </w:style>
  <w:style w:type="paragraph" w:customStyle="1" w:styleId="pj">
    <w:name w:val="p.j."/>
    <w:basedOn w:val="Normln"/>
    <w:link w:val="pjChar"/>
    <w:rsid w:val="000F1CFC"/>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0F1CFC"/>
    <w:rPr>
      <w:rFonts w:ascii="Times New Roman" w:hAnsi="Times New Roman" w:cs="Times New Roman"/>
      <w:sz w:val="24"/>
    </w:rPr>
  </w:style>
  <w:style w:type="paragraph" w:customStyle="1" w:styleId="HeaderCouncil">
    <w:name w:val="Header Council"/>
    <w:basedOn w:val="Normln"/>
    <w:link w:val="HeaderCouncilChar"/>
    <w:rsid w:val="000F1CFC"/>
    <w:pPr>
      <w:spacing w:after="0"/>
    </w:pPr>
    <w:rPr>
      <w:rFonts w:ascii="Times New Roman" w:hAnsi="Times New Roman" w:cs="Times New Roman"/>
      <w:sz w:val="2"/>
    </w:rPr>
  </w:style>
  <w:style w:type="character" w:customStyle="1" w:styleId="HeaderCouncilChar">
    <w:name w:val="Header Council Char"/>
    <w:basedOn w:val="pjChar"/>
    <w:link w:val="HeaderCouncil"/>
    <w:rsid w:val="000F1CFC"/>
    <w:rPr>
      <w:rFonts w:ascii="Times New Roman" w:hAnsi="Times New Roman" w:cs="Times New Roman"/>
      <w:sz w:val="2"/>
    </w:rPr>
  </w:style>
  <w:style w:type="paragraph" w:customStyle="1" w:styleId="HeaderCouncilLarge">
    <w:name w:val="Header Council Large"/>
    <w:basedOn w:val="Normln"/>
    <w:link w:val="HeaderCouncilLargeChar"/>
    <w:rsid w:val="000F1CFC"/>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0F1CFC"/>
    <w:rPr>
      <w:rFonts w:ascii="Times New Roman" w:hAnsi="Times New Roman" w:cs="Times New Roman"/>
      <w:sz w:val="2"/>
    </w:rPr>
  </w:style>
  <w:style w:type="paragraph" w:customStyle="1" w:styleId="FooterCouncil">
    <w:name w:val="Footer Council"/>
    <w:basedOn w:val="Normln"/>
    <w:link w:val="FooterCouncilChar"/>
    <w:rsid w:val="000F1CFC"/>
    <w:pPr>
      <w:spacing w:after="0"/>
    </w:pPr>
    <w:rPr>
      <w:rFonts w:ascii="Times New Roman" w:hAnsi="Times New Roman" w:cs="Times New Roman"/>
      <w:sz w:val="2"/>
    </w:rPr>
  </w:style>
  <w:style w:type="character" w:customStyle="1" w:styleId="FooterCouncilChar">
    <w:name w:val="Footer Council Char"/>
    <w:basedOn w:val="pjChar"/>
    <w:link w:val="FooterCouncil"/>
    <w:rsid w:val="000F1CFC"/>
    <w:rPr>
      <w:rFonts w:ascii="Times New Roman" w:hAnsi="Times New Roman" w:cs="Times New Roman"/>
      <w:sz w:val="2"/>
    </w:rPr>
  </w:style>
  <w:style w:type="paragraph" w:customStyle="1" w:styleId="FooterText">
    <w:name w:val="Footer Text"/>
    <w:basedOn w:val="Normln"/>
    <w:rsid w:val="000F1CFC"/>
    <w:pPr>
      <w:spacing w:after="0" w:line="240" w:lineRule="auto"/>
    </w:pPr>
    <w:rPr>
      <w:rFonts w:ascii="Times New Roman" w:eastAsia="Times New Roman" w:hAnsi="Times New Roman" w:cs="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22-2015-INIT/en/pdf" TargetMode="External"/><Relationship Id="rId2" Type="http://schemas.openxmlformats.org/officeDocument/2006/relationships/hyperlink" Target="http://www.europarl.europa.eu/sides/getDoc.do?type=TA&amp;reference=P8-TA-2015-0273&amp;language=EN" TargetMode="External"/><Relationship Id="rId1" Type="http://schemas.openxmlformats.org/officeDocument/2006/relationships/hyperlink" Target="http://ec.europa.eu/internal_market/consultations/2013/copyright-rules/docs/contributions/consultation-report_en.pdf" TargetMode="External"/><Relationship Id="rId6" Type="http://schemas.openxmlformats.org/officeDocument/2006/relationships/hyperlink" Target="https://ec.europa.eu/eusurvey/runner/Platforms" TargetMode="External"/><Relationship Id="rId5" Type="http://schemas.openxmlformats.org/officeDocument/2006/relationships/hyperlink" Target="http://ec.europa.eu/growth/tools-databases/newsroom/cf/itemdetail.cfm?item_id=8580" TargetMode="External"/><Relationship Id="rId4" Type="http://schemas.openxmlformats.org/officeDocument/2006/relationships/hyperlink" Target="https://ec.europa.eu/eusurvey/runner/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09D9-C058-4A71-9DBF-17BE7381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4556</Words>
  <Characters>26885</Characters>
  <Application>Microsoft Office Word</Application>
  <DocSecurity>4</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2015-12-14T14:52:00Z</dcterms:created>
  <dcterms:modified xsi:type="dcterms:W3CDTF">2015-12-14T14:52:00Z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reated using">
    <vt:lpwstr>DocuWrite 3.7.7, Build 20151207</vt:lpwstr>
  </property>
  <property fmtid="{D5CDD505-2E9C-101B-9397-08002B2CF9AE}" pid="7" name="Last edited using">
    <vt:lpwstr>DocuWrite 3.7.7, Build 20151207</vt:lpwstr>
  </property>
</Properties>
</file>