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8F" w:rsidRPr="00A77526" w:rsidRDefault="00AE0D8F" w:rsidP="00AE0D8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cs-CZ"/>
        </w:rPr>
      </w:pPr>
      <w:r w:rsidRPr="00A77526">
        <w:rPr>
          <w:rFonts w:ascii="Times New Roman" w:eastAsia="Times New Roman" w:hAnsi="Times New Roman"/>
          <w:b/>
          <w:sz w:val="52"/>
          <w:szCs w:val="52"/>
          <w:lang w:eastAsia="cs-CZ"/>
        </w:rPr>
        <w:t>Judikatura a památková péče</w:t>
      </w:r>
    </w:p>
    <w:p w:rsidR="007E1074" w:rsidRPr="00A77526" w:rsidRDefault="003A4F97" w:rsidP="001325C4">
      <w:pPr>
        <w:pStyle w:val="Obsah4"/>
        <w:spacing w:before="240"/>
        <w:ind w:right="-147"/>
      </w:pPr>
      <w:r w:rsidRPr="00A77526">
        <w:t>Obsah:</w:t>
      </w:r>
    </w:p>
    <w:p w:rsidR="00EA3505" w:rsidRDefault="003A4F97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r w:rsidRPr="00A77526">
        <w:rPr>
          <w:u w:val="none"/>
        </w:rPr>
        <w:fldChar w:fldCharType="begin"/>
      </w:r>
      <w:r w:rsidRPr="00A77526">
        <w:rPr>
          <w:u w:val="none"/>
        </w:rPr>
        <w:instrText xml:space="preserve"> TOC \o "1-4" \h \z \u </w:instrText>
      </w:r>
      <w:r w:rsidRPr="00A77526">
        <w:rPr>
          <w:u w:val="none"/>
        </w:rPr>
        <w:fldChar w:fldCharType="separate"/>
      </w:r>
      <w:hyperlink w:anchor="_Toc22043631" w:history="1">
        <w:r w:rsidR="00EA3505" w:rsidRPr="006B6242">
          <w:rPr>
            <w:rStyle w:val="Hypertextovodkaz"/>
            <w:noProof/>
          </w:rPr>
          <w:t>1.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Nepředvídaný archeologický nález v režimu stavebního zákona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_Toc22043631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1</w:t>
        </w:r>
        <w:r w:rsidR="00EA3505">
          <w:rPr>
            <w:noProof/>
            <w:webHidden/>
          </w:rPr>
          <w:fldChar w:fldCharType="end"/>
        </w:r>
      </w:hyperlink>
    </w:p>
    <w:p w:rsidR="00EA3505" w:rsidRDefault="00670C6A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hyperlink w:anchor="_Toc22043632" w:history="1">
        <w:r w:rsidR="00EA3505" w:rsidRPr="006B6242">
          <w:rPr>
            <w:rStyle w:val="Hypertextovodkaz"/>
            <w:noProof/>
          </w:rPr>
          <w:t>2.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Nesouhlas orgánů památkové péče s dodatečným povolením černé stavby – vikýře v památkové zóně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_Toc22043632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2</w:t>
        </w:r>
        <w:r w:rsidR="00EA3505">
          <w:rPr>
            <w:noProof/>
            <w:webHidden/>
          </w:rPr>
          <w:fldChar w:fldCharType="end"/>
        </w:r>
      </w:hyperlink>
    </w:p>
    <w:p w:rsidR="00EA3505" w:rsidRDefault="00670C6A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hyperlink w:anchor="_Toc22043633" w:history="1">
        <w:r w:rsidR="00EA3505" w:rsidRPr="006B6242">
          <w:rPr>
            <w:rStyle w:val="Hypertextovodkaz"/>
            <w:noProof/>
          </w:rPr>
          <w:t>3.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Vlastnictví drobné architektury v zámeckém parku, z níž část se stala movitou věcí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_Toc22043633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3</w:t>
        </w:r>
        <w:r w:rsidR="00EA3505">
          <w:rPr>
            <w:noProof/>
            <w:webHidden/>
          </w:rPr>
          <w:fldChar w:fldCharType="end"/>
        </w:r>
      </w:hyperlink>
    </w:p>
    <w:p w:rsidR="00EA3505" w:rsidRDefault="00670C6A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hyperlink w:anchor="_Toc22043634" w:history="1">
        <w:r w:rsidR="00EA3505" w:rsidRPr="006B6242">
          <w:rPr>
            <w:rStyle w:val="Hypertextovodkaz"/>
            <w:noProof/>
          </w:rPr>
          <w:t>4.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Řízení o vymezení ochranného pásma podle § 17 zákona o státní památkové péči je výlučně řízením z moci úřední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_Toc22043634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4</w:t>
        </w:r>
        <w:r w:rsidR="00EA3505">
          <w:rPr>
            <w:noProof/>
            <w:webHidden/>
          </w:rPr>
          <w:fldChar w:fldCharType="end"/>
        </w:r>
      </w:hyperlink>
    </w:p>
    <w:p w:rsidR="00EA3505" w:rsidRDefault="00670C6A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hyperlink w:anchor="_Toc22043635" w:history="1">
        <w:r w:rsidR="00EA3505" w:rsidRPr="006B6242">
          <w:rPr>
            <w:rStyle w:val="Hypertextovodkaz"/>
            <w:noProof/>
          </w:rPr>
          <w:t>5.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Kulturní památky zapsané do státních seznamů za účinnosti zákona o kulturních památkách a jejich přechod do režimu zákona o státní památkové péče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_Toc22043635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5</w:t>
        </w:r>
        <w:r w:rsidR="00EA3505">
          <w:rPr>
            <w:noProof/>
            <w:webHidden/>
          </w:rPr>
          <w:fldChar w:fldCharType="end"/>
        </w:r>
      </w:hyperlink>
    </w:p>
    <w:p w:rsidR="00EA3505" w:rsidRDefault="00670C6A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hyperlink w:anchor="_Toc22043636" w:history="1">
        <w:r w:rsidR="00EA3505" w:rsidRPr="006B6242">
          <w:rPr>
            <w:rStyle w:val="Hypertextovodkaz"/>
            <w:noProof/>
          </w:rPr>
          <w:t>6.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Nemožnost přezkumu nařízení vlády o prohlášení kulturní památky za národní kulturní památku v rámci správního soudnictví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_Toc22043636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7</w:t>
        </w:r>
        <w:r w:rsidR="00EA3505">
          <w:rPr>
            <w:noProof/>
            <w:webHidden/>
          </w:rPr>
          <w:fldChar w:fldCharType="end"/>
        </w:r>
      </w:hyperlink>
    </w:p>
    <w:p w:rsidR="00EA3505" w:rsidRDefault="00670C6A">
      <w:pPr>
        <w:pStyle w:val="Obsah4"/>
        <w:rPr>
          <w:rFonts w:asciiTheme="minorHAnsi" w:eastAsiaTheme="minorEastAsia" w:hAnsiTheme="minorHAnsi" w:cstheme="minorBidi"/>
          <w:b w:val="0"/>
          <w:noProof/>
          <w:sz w:val="22"/>
          <w:szCs w:val="22"/>
          <w:u w:val="none"/>
        </w:rPr>
      </w:pPr>
      <w:hyperlink w:anchor="_Toc22043637" w:history="1">
        <w:r w:rsidR="00EA3505" w:rsidRPr="006B6242">
          <w:rPr>
            <w:rStyle w:val="Hypertextovodkaz"/>
            <w:noProof/>
          </w:rPr>
          <w:t>7.</w:t>
        </w:r>
        <w:r w:rsidR="00EA350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u w:val="none"/>
          </w:rPr>
          <w:tab/>
        </w:r>
        <w:r w:rsidR="00EA3505" w:rsidRPr="006B6242">
          <w:rPr>
            <w:rStyle w:val="Hypertextovodkaz"/>
            <w:noProof/>
          </w:rPr>
          <w:t>K ukládání nápravného opatření dle § 10 odst. 1 zákona o státní památkové péči a pojem dobrý stav kulturní památky</w:t>
        </w:r>
        <w:r w:rsidR="00EA3505">
          <w:rPr>
            <w:noProof/>
            <w:webHidden/>
          </w:rPr>
          <w:tab/>
        </w:r>
        <w:r w:rsidR="00EA3505">
          <w:rPr>
            <w:noProof/>
            <w:webHidden/>
          </w:rPr>
          <w:fldChar w:fldCharType="begin"/>
        </w:r>
        <w:r w:rsidR="00EA3505">
          <w:rPr>
            <w:noProof/>
            <w:webHidden/>
          </w:rPr>
          <w:instrText xml:space="preserve"> PAGEREF _Toc22043637 \h </w:instrText>
        </w:r>
        <w:r w:rsidR="00EA3505">
          <w:rPr>
            <w:noProof/>
            <w:webHidden/>
          </w:rPr>
        </w:r>
        <w:r w:rsidR="00EA3505">
          <w:rPr>
            <w:noProof/>
            <w:webHidden/>
          </w:rPr>
          <w:fldChar w:fldCharType="separate"/>
        </w:r>
        <w:r w:rsidR="00EA3505">
          <w:rPr>
            <w:noProof/>
            <w:webHidden/>
          </w:rPr>
          <w:t>7</w:t>
        </w:r>
        <w:r w:rsidR="00EA3505">
          <w:rPr>
            <w:noProof/>
            <w:webHidden/>
          </w:rPr>
          <w:fldChar w:fldCharType="end"/>
        </w:r>
      </w:hyperlink>
    </w:p>
    <w:p w:rsidR="003A4F97" w:rsidRPr="00A77526" w:rsidRDefault="003A4F97" w:rsidP="001325C4">
      <w:pPr>
        <w:spacing w:after="0"/>
        <w:jc w:val="both"/>
        <w:rPr>
          <w:b/>
        </w:rPr>
      </w:pPr>
      <w:r w:rsidRPr="00A77526">
        <w:rPr>
          <w:b/>
        </w:rPr>
        <w:fldChar w:fldCharType="end"/>
      </w:r>
    </w:p>
    <w:p w:rsidR="00C72EC3" w:rsidRPr="00A77526" w:rsidRDefault="002405F5" w:rsidP="00C72EC3">
      <w:pPr>
        <w:pStyle w:val="StylNadpis4Ped6bZa6b"/>
      </w:pPr>
      <w:bookmarkStart w:id="0" w:name="_Toc22043631"/>
      <w:r>
        <w:t>Nepředvídaný</w:t>
      </w:r>
      <w:r w:rsidR="006F3AA6">
        <w:t xml:space="preserve"> archeologický</w:t>
      </w:r>
      <w:r>
        <w:t xml:space="preserve"> nález v režimu stavebního zákona</w:t>
      </w:r>
      <w:bookmarkEnd w:id="0"/>
    </w:p>
    <w:p w:rsidR="00C72EC3" w:rsidRPr="00A77526" w:rsidRDefault="00C72EC3" w:rsidP="00C72E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31BC">
        <w:rPr>
          <w:rFonts w:ascii="Times New Roman" w:hAnsi="Times New Roman"/>
          <w:b/>
          <w:sz w:val="24"/>
          <w:szCs w:val="24"/>
        </w:rPr>
        <w:t xml:space="preserve">Rozsudek </w:t>
      </w:r>
      <w:r w:rsidR="00C731BC" w:rsidRPr="00C731BC">
        <w:rPr>
          <w:rFonts w:ascii="Times New Roman" w:hAnsi="Times New Roman"/>
          <w:b/>
          <w:sz w:val="24"/>
          <w:szCs w:val="24"/>
        </w:rPr>
        <w:t>Městského soudu v Praze</w:t>
      </w:r>
      <w:r w:rsidRPr="00C731BC">
        <w:rPr>
          <w:rFonts w:ascii="Times New Roman" w:hAnsi="Times New Roman"/>
          <w:b/>
          <w:sz w:val="24"/>
          <w:szCs w:val="24"/>
        </w:rPr>
        <w:t xml:space="preserve"> </w:t>
      </w:r>
      <w:r w:rsidR="00C731BC" w:rsidRPr="00C731BC">
        <w:rPr>
          <w:rFonts w:ascii="Times New Roman" w:hAnsi="Times New Roman"/>
          <w:b/>
          <w:sz w:val="24"/>
          <w:szCs w:val="24"/>
        </w:rPr>
        <w:t>č.</w:t>
      </w:r>
      <w:r w:rsidR="00AF1EE0">
        <w:rPr>
          <w:rFonts w:ascii="Times New Roman" w:hAnsi="Times New Roman"/>
          <w:b/>
          <w:sz w:val="24"/>
          <w:szCs w:val="24"/>
        </w:rPr>
        <w:t xml:space="preserve"> </w:t>
      </w:r>
      <w:r w:rsidR="00C731BC" w:rsidRPr="00C731BC">
        <w:rPr>
          <w:rFonts w:ascii="Times New Roman" w:hAnsi="Times New Roman"/>
          <w:b/>
          <w:sz w:val="24"/>
          <w:szCs w:val="24"/>
        </w:rPr>
        <w:t>j</w:t>
      </w:r>
      <w:r w:rsidRPr="00C731BC">
        <w:rPr>
          <w:rFonts w:ascii="Times New Roman" w:hAnsi="Times New Roman"/>
          <w:b/>
          <w:sz w:val="24"/>
          <w:szCs w:val="24"/>
        </w:rPr>
        <w:t xml:space="preserve">. </w:t>
      </w:r>
      <w:r w:rsidR="00C731BC" w:rsidRPr="00C731BC">
        <w:rPr>
          <w:rFonts w:ascii="Times New Roman" w:hAnsi="Times New Roman"/>
          <w:b/>
          <w:sz w:val="24"/>
          <w:szCs w:val="24"/>
        </w:rPr>
        <w:t>9 A 35/2016 - 43</w:t>
      </w:r>
      <w:r w:rsidRPr="00C731BC">
        <w:rPr>
          <w:rFonts w:ascii="Times New Roman" w:hAnsi="Times New Roman"/>
          <w:b/>
          <w:sz w:val="24"/>
          <w:szCs w:val="24"/>
        </w:rPr>
        <w:t xml:space="preserve"> ze dne </w:t>
      </w:r>
      <w:r w:rsidR="00C731BC" w:rsidRPr="00C731BC">
        <w:rPr>
          <w:rFonts w:ascii="Times New Roman" w:hAnsi="Times New Roman"/>
          <w:b/>
          <w:sz w:val="24"/>
          <w:szCs w:val="24"/>
        </w:rPr>
        <w:t>25</w:t>
      </w:r>
      <w:r w:rsidRPr="00C731BC">
        <w:rPr>
          <w:rFonts w:ascii="Times New Roman" w:hAnsi="Times New Roman"/>
          <w:b/>
          <w:sz w:val="24"/>
          <w:szCs w:val="24"/>
        </w:rPr>
        <w:t xml:space="preserve">. </w:t>
      </w:r>
      <w:r w:rsidR="00C731BC" w:rsidRPr="00C731BC">
        <w:rPr>
          <w:rFonts w:ascii="Times New Roman" w:hAnsi="Times New Roman"/>
          <w:b/>
          <w:sz w:val="24"/>
          <w:szCs w:val="24"/>
        </w:rPr>
        <w:t>9</w:t>
      </w:r>
      <w:r w:rsidRPr="00C731BC">
        <w:rPr>
          <w:rFonts w:ascii="Times New Roman" w:hAnsi="Times New Roman"/>
          <w:b/>
          <w:sz w:val="24"/>
          <w:szCs w:val="24"/>
        </w:rPr>
        <w:t>. 2018 (</w:t>
      </w:r>
      <w:r w:rsidR="00C731BC" w:rsidRPr="00C731BC">
        <w:rPr>
          <w:rFonts w:ascii="Times New Roman" w:hAnsi="Times New Roman"/>
          <w:b/>
          <w:sz w:val="24"/>
          <w:szCs w:val="24"/>
        </w:rPr>
        <w:t>D221</w:t>
      </w:r>
      <w:r w:rsidRPr="00C731BC">
        <w:rPr>
          <w:rFonts w:ascii="Times New Roman" w:hAnsi="Times New Roman"/>
          <w:b/>
          <w:sz w:val="24"/>
          <w:szCs w:val="24"/>
        </w:rPr>
        <w:t>)</w:t>
      </w:r>
    </w:p>
    <w:p w:rsidR="00C72EC3" w:rsidRPr="00A77526" w:rsidRDefault="00C72EC3" w:rsidP="00C72E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526">
        <w:rPr>
          <w:rFonts w:ascii="Times New Roman" w:hAnsi="Times New Roman"/>
          <w:b/>
          <w:sz w:val="24"/>
          <w:szCs w:val="24"/>
        </w:rPr>
        <w:t>vybrané části judikátu:</w:t>
      </w:r>
    </w:p>
    <w:p w:rsidR="00C731BC" w:rsidRPr="00C731BC" w:rsidRDefault="00C731BC" w:rsidP="00C7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31BC">
        <w:rPr>
          <w:rFonts w:ascii="Times New Roman" w:hAnsi="Times New Roman"/>
          <w:sz w:val="24"/>
          <w:szCs w:val="24"/>
        </w:rPr>
        <w:t>Závěr žalovaného, podle něhož se v případě archeologického nálezu, který byl učiněn v rámci záchranného archeologického výzkumu, nemůže jednat o nález nepředvídaný, dle náhledu soudu neobstojí.</w:t>
      </w:r>
    </w:p>
    <w:p w:rsidR="00C731BC" w:rsidRPr="00C731BC" w:rsidRDefault="00C731BC" w:rsidP="00C7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31BC">
        <w:rPr>
          <w:rFonts w:ascii="Times New Roman" w:hAnsi="Times New Roman"/>
          <w:sz w:val="24"/>
          <w:szCs w:val="24"/>
        </w:rPr>
        <w:t>To, zda při provádění záchranného archeologického výzkumu bude učiněn archeologický nález, je zpravidla věc nejistá, přičemž ve valné většině případů nemohou ani odborníci v oboru archeologie předem určit, jaký konkrétní archeologický nález na ně pod zemí „čeká“.</w:t>
      </w:r>
    </w:p>
    <w:p w:rsidR="00C731BC" w:rsidRPr="00C731BC" w:rsidRDefault="00C731BC" w:rsidP="00C7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31BC">
        <w:rPr>
          <w:rFonts w:ascii="Times New Roman" w:hAnsi="Times New Roman"/>
          <w:sz w:val="24"/>
          <w:szCs w:val="24"/>
        </w:rPr>
        <w:t xml:space="preserve">… předvídanost archeologického nálezu je nutno posuzovat individuálně, s </w:t>
      </w:r>
      <w:r w:rsidR="00AF1EE0">
        <w:rPr>
          <w:rFonts w:ascii="Times New Roman" w:hAnsi="Times New Roman"/>
          <w:sz w:val="24"/>
          <w:szCs w:val="24"/>
        </w:rPr>
        <w:t> </w:t>
      </w:r>
      <w:r w:rsidRPr="00C731BC">
        <w:rPr>
          <w:rFonts w:ascii="Times New Roman" w:hAnsi="Times New Roman"/>
          <w:sz w:val="24"/>
          <w:szCs w:val="24"/>
        </w:rPr>
        <w:t>přihlédnutím k druhu a charakteru konkrétního archeologického nálezu, a to na podkladě odborných znalostí vztahujících se k dané lokalitě. Za předvídatelný však v žádném případě nelze označit archeologický nález zcela výjimečného a mimořádného charakteru, dokládající existenci stavby, o které žádný odborník dosud neměl ani tušení.</w:t>
      </w:r>
    </w:p>
    <w:p w:rsidR="00C731BC" w:rsidRPr="00C731BC" w:rsidRDefault="00C731BC" w:rsidP="00C7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31BC">
        <w:rPr>
          <w:rFonts w:ascii="Times New Roman" w:hAnsi="Times New Roman"/>
          <w:sz w:val="24"/>
          <w:szCs w:val="24"/>
        </w:rPr>
        <w:t xml:space="preserve">§ 176 stavebního zákona dopadá na veškeré archeologické nálezy, ke kterým dojde při postupu dle stavebního zákona nebo v souvislosti s tím, nikoliv pouze na nálezy nepředvídané, jak dovozuje žalovaný. Soud k tomuto závěru vede nejen gramatický výklad první věty § 176 odst. 1 stavebního zákona, který umožňuje spojit slovo „nepředvídaný“ toliko s nálezy kulturně cenných předmětů, detailů stavby nebo chráněných částí přírody, ale především výklad teleologický, beroucí v potaz smysl a účel právní úpravy. …; účelem ustanovení § 176 odst. 6 je pak kompenzace prokazatelných nákladů, které stavebníkovi v </w:t>
      </w:r>
      <w:r w:rsidR="00AF1EE0">
        <w:rPr>
          <w:rFonts w:ascii="Times New Roman" w:hAnsi="Times New Roman"/>
          <w:sz w:val="24"/>
          <w:szCs w:val="24"/>
        </w:rPr>
        <w:t> </w:t>
      </w:r>
      <w:r w:rsidRPr="00C731BC">
        <w:rPr>
          <w:rFonts w:ascii="Times New Roman" w:hAnsi="Times New Roman"/>
          <w:sz w:val="24"/>
          <w:szCs w:val="24"/>
        </w:rPr>
        <w:t>zákonem stanovených případech vzniknou.</w:t>
      </w:r>
    </w:p>
    <w:p w:rsidR="00C72EC3" w:rsidRDefault="00C731BC" w:rsidP="00C7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31BC">
        <w:rPr>
          <w:rFonts w:ascii="Times New Roman" w:hAnsi="Times New Roman"/>
          <w:sz w:val="24"/>
          <w:szCs w:val="24"/>
        </w:rPr>
        <w:t xml:space="preserve">Žalovaný až ve vyjádření k žalobě uvedl nové důvody, které podle něj prokazují nesplnění podmínek stanovených v § 176 odst. 6 stavebního zákona pro přiznání náhrady nákladů, a brání tak vyhovění žádosti žalobce. K této nově uplatněné argumentaci nemohl soud při posouzení zákonnosti napadeného rozhodnutí přihlížet. Předmětem soudního </w:t>
      </w:r>
      <w:r w:rsidRPr="00C731BC">
        <w:rPr>
          <w:rFonts w:ascii="Times New Roman" w:hAnsi="Times New Roman"/>
          <w:sz w:val="24"/>
          <w:szCs w:val="24"/>
        </w:rPr>
        <w:lastRenderedPageBreak/>
        <w:t xml:space="preserve">přezkumu je zákonnost žalobou napadeného rozhodnutí správního orgánu jakožto správního aktu, který bezprostředně zasahuje do právní sféry žalobce. … To znamená, že argumenty správního orgánu obsažené ve vyjádření k žalobě, které nebyly uplatněny v odůvodnění napadeného rozhodnutí, nemůže soud při posouzení zákonnosti napadeného rozhodnutí brát v </w:t>
      </w:r>
      <w:r w:rsidR="00AF1EE0">
        <w:rPr>
          <w:rFonts w:ascii="Times New Roman" w:hAnsi="Times New Roman"/>
          <w:sz w:val="24"/>
          <w:szCs w:val="24"/>
        </w:rPr>
        <w:t> </w:t>
      </w:r>
      <w:r w:rsidRPr="00C731BC">
        <w:rPr>
          <w:rFonts w:ascii="Times New Roman" w:hAnsi="Times New Roman"/>
          <w:sz w:val="24"/>
          <w:szCs w:val="24"/>
        </w:rPr>
        <w:t>potaz.</w:t>
      </w:r>
    </w:p>
    <w:p w:rsidR="00A73089" w:rsidRPr="00A77526" w:rsidRDefault="00F841E6" w:rsidP="00EC2D7B">
      <w:pPr>
        <w:pStyle w:val="StylNadpis4Ped6bZa6b"/>
      </w:pPr>
      <w:bookmarkStart w:id="1" w:name="_Toc22043632"/>
      <w:r>
        <w:t>Nesouhlas</w:t>
      </w:r>
      <w:r w:rsidR="00E32C28">
        <w:t xml:space="preserve"> orgánů památkové péče </w:t>
      </w:r>
      <w:r>
        <w:t>s dodatečným povolením černé stavby – vikýře v památkové zóně</w:t>
      </w:r>
      <w:bookmarkEnd w:id="1"/>
    </w:p>
    <w:p w:rsidR="009A6A9C" w:rsidRDefault="0040095D" w:rsidP="004009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41E6">
        <w:rPr>
          <w:rFonts w:ascii="Times New Roman" w:hAnsi="Times New Roman"/>
          <w:b/>
          <w:sz w:val="24"/>
          <w:szCs w:val="24"/>
        </w:rPr>
        <w:t xml:space="preserve">Rozsudek </w:t>
      </w:r>
      <w:r w:rsidR="00F841E6" w:rsidRPr="00F841E6">
        <w:rPr>
          <w:rFonts w:ascii="Times New Roman" w:hAnsi="Times New Roman"/>
          <w:b/>
          <w:sz w:val="24"/>
          <w:szCs w:val="24"/>
        </w:rPr>
        <w:t>Městského soudu v Praze č.</w:t>
      </w:r>
      <w:r w:rsidR="00AF1EE0">
        <w:rPr>
          <w:rFonts w:ascii="Times New Roman" w:hAnsi="Times New Roman"/>
          <w:b/>
          <w:sz w:val="24"/>
          <w:szCs w:val="24"/>
        </w:rPr>
        <w:t xml:space="preserve"> </w:t>
      </w:r>
      <w:r w:rsidR="00F841E6" w:rsidRPr="00F841E6">
        <w:rPr>
          <w:rFonts w:ascii="Times New Roman" w:hAnsi="Times New Roman"/>
          <w:b/>
          <w:sz w:val="24"/>
          <w:szCs w:val="24"/>
        </w:rPr>
        <w:t>j. 3 A 145/2017 - 46</w:t>
      </w:r>
      <w:r w:rsidRPr="00F841E6">
        <w:rPr>
          <w:rFonts w:ascii="Times New Roman" w:hAnsi="Times New Roman"/>
          <w:b/>
          <w:sz w:val="24"/>
          <w:szCs w:val="24"/>
        </w:rPr>
        <w:t xml:space="preserve"> z</w:t>
      </w:r>
      <w:r w:rsidR="00F841E6" w:rsidRPr="00F841E6">
        <w:rPr>
          <w:rFonts w:ascii="Times New Roman" w:hAnsi="Times New Roman"/>
          <w:b/>
          <w:sz w:val="24"/>
          <w:szCs w:val="24"/>
        </w:rPr>
        <w:t>e dne</w:t>
      </w:r>
      <w:r w:rsidRPr="00F841E6">
        <w:rPr>
          <w:rFonts w:ascii="Times New Roman" w:hAnsi="Times New Roman"/>
          <w:b/>
          <w:sz w:val="24"/>
          <w:szCs w:val="24"/>
        </w:rPr>
        <w:t xml:space="preserve"> 9. </w:t>
      </w:r>
      <w:r w:rsidR="00F841E6" w:rsidRPr="00F841E6">
        <w:rPr>
          <w:rFonts w:ascii="Times New Roman" w:hAnsi="Times New Roman"/>
          <w:b/>
          <w:sz w:val="24"/>
          <w:szCs w:val="24"/>
        </w:rPr>
        <w:t>4</w:t>
      </w:r>
      <w:r w:rsidRPr="00F841E6">
        <w:rPr>
          <w:rFonts w:ascii="Times New Roman" w:hAnsi="Times New Roman"/>
          <w:b/>
          <w:sz w:val="24"/>
          <w:szCs w:val="24"/>
        </w:rPr>
        <w:t xml:space="preserve"> 201</w:t>
      </w:r>
      <w:r w:rsidR="00F841E6" w:rsidRPr="00F841E6">
        <w:rPr>
          <w:rFonts w:ascii="Times New Roman" w:hAnsi="Times New Roman"/>
          <w:b/>
          <w:sz w:val="24"/>
          <w:szCs w:val="24"/>
        </w:rPr>
        <w:t>9</w:t>
      </w:r>
      <w:r w:rsidRPr="00F841E6">
        <w:rPr>
          <w:rFonts w:ascii="Times New Roman" w:hAnsi="Times New Roman"/>
          <w:b/>
          <w:sz w:val="24"/>
          <w:szCs w:val="24"/>
        </w:rPr>
        <w:t xml:space="preserve"> (D</w:t>
      </w:r>
      <w:r w:rsidR="00F841E6" w:rsidRPr="00F841E6">
        <w:rPr>
          <w:rFonts w:ascii="Times New Roman" w:hAnsi="Times New Roman"/>
          <w:b/>
          <w:sz w:val="24"/>
          <w:szCs w:val="24"/>
        </w:rPr>
        <w:t>234</w:t>
      </w:r>
      <w:r w:rsidRPr="00F841E6">
        <w:rPr>
          <w:rFonts w:ascii="Times New Roman" w:hAnsi="Times New Roman"/>
          <w:b/>
          <w:sz w:val="24"/>
          <w:szCs w:val="24"/>
        </w:rPr>
        <w:t>)</w:t>
      </w:r>
      <w:r w:rsidR="00F841E6">
        <w:rPr>
          <w:rStyle w:val="Znakapoznpodarou"/>
          <w:rFonts w:ascii="Times New Roman" w:hAnsi="Times New Roman"/>
          <w:b/>
          <w:sz w:val="24"/>
          <w:szCs w:val="24"/>
        </w:rPr>
        <w:footnoteReference w:id="1"/>
      </w:r>
    </w:p>
    <w:p w:rsidR="0040095D" w:rsidRPr="00A77526" w:rsidRDefault="0040095D" w:rsidP="004009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526">
        <w:rPr>
          <w:rFonts w:ascii="Times New Roman" w:hAnsi="Times New Roman"/>
          <w:b/>
          <w:sz w:val="24"/>
          <w:szCs w:val="24"/>
        </w:rPr>
        <w:t>vybrané části judikátu: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 xml:space="preserve">Žalovaný ve svém stanovisku uvedl, že památková hodnota objektu spočívá především v jeho sourodém začlenění do této urbanistické struktury, neboť objekt svým výrazovým pojetím dokumentuje historický vývoj městské zástavby v příslušném časovém úseku i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>slohovém období a je pevnou součástí architektonického řešení dané lokality. Jelikož změnou stavby byla narušena střešní krajina vnitrobloku, bylo toto sourodé začlenění narušeno, jak je výslovně žalovaným uvedeno dále ve stanovisku: „Provedení pultového vikýře s terasou v horní úrovni střechy do dvora znehodnocuje střešní krajinu památkové zóny Dejvice, Bubeneč, horní Holešovice, charakter řadové zástavby Bubenče a negativně pohledově působí v dálkových pohledech a je tak v rozporu se zájmy sledovanými státní památkovou péčí v této lokalitě.“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>Nutno podotknout, že součástí správního spisu je i projektová dokumentace, z níž jsou stavební změny patrné.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 xml:space="preserve">Nelze ospravedlnit změnu stavby provedenou v rozporu se závazným stanoviskem odboru památkové péče argumentem, že v důsledku předchozích stavebních úprav již střešní krajina vnitrobloku byla narušena natolik, že prakticky neexistuje. Jedná se pouze o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>subjektivní názor žalobce. Předmětná lokalita je i nadále předmětem památkové ochrany.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>… skutkový stav soud shledal zjištěný v dostatečné míře a obranu žalobce, že provedená stavba nemůže být způsobilá narušit střešní krajinu vnitrobloku, neboť stavební úpravy sousedních nemovitostí zcela narušují charakter řadové zástavby i panorama celé památkové zóny shledal nedůvodnou.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 xml:space="preserve">… předmětem ochrany dle čl. 3 odst. b) vyhlášky Hlavního města Prahy č. 10/1993 Sb., o prohlášení části hlavního města Prahy za památkové zóny a o určení podmínek jejich ochrany (dále jen „vyhláška“), je v daném případě „historický půdorys a jemu odpovídající prostorová a hmotová skladba, charakter a architektura objektu, jeho exteriér, veřejný interiér včetně řemeslných a uměleckořemeslných prvků a panorama památkových zón v blízkých pohledech.“ Dále dotčený orgán zdůraznil, že památková hodnota objektu spočívá především v jeho sourodém začlenění do urbanistické struktury, prostorové a hmotové skladby jednotně </w:t>
      </w:r>
      <w:r w:rsidRPr="00F841E6">
        <w:rPr>
          <w:rFonts w:ascii="Times New Roman" w:hAnsi="Times New Roman"/>
          <w:sz w:val="24"/>
          <w:szCs w:val="24"/>
        </w:rPr>
        <w:lastRenderedPageBreak/>
        <w:t xml:space="preserve">koncipovaného historického urbanistického celku. Objekt svým výrazovým pojetím dokumentuje historický vývoj městské zástavby v příslušném časovém úseku i slohovém období a je pevnou součástí architektonického řešení dané lokality.“, tedy konkretizoval, v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 xml:space="preserve">čem spočívá památková hodnota objektu a následně dodal, že „nyní doložené a realizované stavební úpravy zahrnující výstavbu pultového střešního vikýře s terasou směrem do dvora v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 xml:space="preserve">úrovni 8. NP jsou nevhodné. Provedenými změnami byla narušena střešní krajina vnitrobloku. Přímá návaznost pultového vikýře s terasou na hřeben střechy je v daném kontextu v rámci střešní krajiny památkové zóny nežádoucí. Provedení pultového vikýře s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>terasou v horní úrovni střechy do dvora znehodnocuje střešní krajinu památkové zóny Dejvice, Bubeneč, horní Holešovice, charakter řadové zástavby Bubenče a negativně pohledově působí v dálkových pohledech a je tak v rozporu se zájmy sledovanými státní památkovou péčí v této lokalitě.“, tedy uvedl důvody, které jej vedly k závěrům, že provedená změna stavby narušila stávající chráněný objekt a je tudíž neakceptovatelná. Úvahy dotčeného orgánu shledal soud logickými a přezkoumatelnými.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 xml:space="preserve">Lze konstatovat, že závazné stanovisko Ministerstva kultury tyto náležitosti obsahuje, neboť je v něm uvedeno, z jakých podkladů dotčený orgán vycházel, jak je hodnotil a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>stanovisko též obsahuje vypořádání odvolacích důvodů žalobce.</w:t>
      </w:r>
    </w:p>
    <w:p w:rsidR="00F841E6" w:rsidRPr="00F841E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 xml:space="preserve">Žalobce však mohl a měl vědět, že jakákoliv stavební úprava v předmětné lokalitě podléhá předchozímu schválení orgánu památkové ochrany. Žalobce však nedostál povinnosti nechat danou stavební úpravu projednat před příslušným dotčeným správním orgánem, tedy o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>své vůli na tuto povinnost rezignoval. Nutno též poznamenat, že žalobce provedl změnu stavby nejen bez kladného posouzení orgánem památkové péče, ale také bez stavebního povolení dle stavebního zákona.</w:t>
      </w:r>
    </w:p>
    <w:p w:rsidR="006900FA" w:rsidRPr="00A77526" w:rsidRDefault="00F841E6" w:rsidP="00F84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41E6">
        <w:rPr>
          <w:rFonts w:ascii="Times New Roman" w:hAnsi="Times New Roman"/>
          <w:sz w:val="24"/>
          <w:szCs w:val="24"/>
        </w:rPr>
        <w:t xml:space="preserve">Provedení stavby bez kladného stanoviska tak lze přikládat spíše k tíži žalobce, z jehož jednání lze usuzovat, že spoléhal, že předmětný stavební záměr bude schválen, avšak v </w:t>
      </w:r>
      <w:r w:rsidR="00AF1EE0">
        <w:rPr>
          <w:rFonts w:ascii="Times New Roman" w:hAnsi="Times New Roman"/>
          <w:sz w:val="24"/>
          <w:szCs w:val="24"/>
        </w:rPr>
        <w:t> </w:t>
      </w:r>
      <w:r w:rsidRPr="00F841E6">
        <w:rPr>
          <w:rFonts w:ascii="Times New Roman" w:hAnsi="Times New Roman"/>
          <w:sz w:val="24"/>
          <w:szCs w:val="24"/>
        </w:rPr>
        <w:t>opačném případě byl s jeho zamítnutím srozuměn. Postup žalobce naopak nasvědčuje, že se provedením změny stavby a následnou žádostí o dodatečné stavební povolení pokoušel obejít negativní stanovisko orgánu památkové ochrany před samotným provedením stavby.</w:t>
      </w:r>
    </w:p>
    <w:p w:rsidR="00C72EC3" w:rsidRPr="00A77526" w:rsidRDefault="002405F5" w:rsidP="00C72EC3">
      <w:pPr>
        <w:pStyle w:val="StylNadpis4Ped6bZa6b"/>
      </w:pPr>
      <w:bookmarkStart w:id="2" w:name="_Toc22043633"/>
      <w:r>
        <w:t>Vlastnictví drobné architektury v zámeckém parku</w:t>
      </w:r>
      <w:r w:rsidR="00B30885">
        <w:t>, z níž část</w:t>
      </w:r>
      <w:r w:rsidR="00EA3505">
        <w:t xml:space="preserve"> se</w:t>
      </w:r>
      <w:r w:rsidR="00B30885">
        <w:t xml:space="preserve"> stala movit</w:t>
      </w:r>
      <w:r w:rsidR="00550C22">
        <w:t>ými</w:t>
      </w:r>
      <w:r w:rsidR="00B30885">
        <w:t xml:space="preserve"> věc</w:t>
      </w:r>
      <w:r w:rsidR="00550C22">
        <w:t>mi</w:t>
      </w:r>
      <w:bookmarkEnd w:id="2"/>
    </w:p>
    <w:p w:rsidR="00C72EC3" w:rsidRPr="00A77526" w:rsidRDefault="00C72EC3" w:rsidP="00C72E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05F5">
        <w:rPr>
          <w:rFonts w:ascii="Times New Roman" w:hAnsi="Times New Roman"/>
          <w:b/>
          <w:sz w:val="24"/>
          <w:szCs w:val="24"/>
        </w:rPr>
        <w:t xml:space="preserve">Rozsudek </w:t>
      </w:r>
      <w:r w:rsidR="002405F5" w:rsidRPr="002405F5">
        <w:rPr>
          <w:rFonts w:ascii="Times New Roman" w:hAnsi="Times New Roman"/>
          <w:b/>
          <w:sz w:val="24"/>
          <w:szCs w:val="24"/>
        </w:rPr>
        <w:t>Okresního</w:t>
      </w:r>
      <w:r w:rsidRPr="002405F5">
        <w:rPr>
          <w:rFonts w:ascii="Times New Roman" w:hAnsi="Times New Roman"/>
          <w:b/>
          <w:sz w:val="24"/>
          <w:szCs w:val="24"/>
        </w:rPr>
        <w:t xml:space="preserve"> soudu</w:t>
      </w:r>
      <w:r w:rsidR="002405F5" w:rsidRPr="002405F5">
        <w:rPr>
          <w:rFonts w:ascii="Times New Roman" w:hAnsi="Times New Roman"/>
          <w:b/>
          <w:sz w:val="24"/>
          <w:szCs w:val="24"/>
        </w:rPr>
        <w:t xml:space="preserve"> ve Vyškově</w:t>
      </w:r>
      <w:r w:rsidRPr="002405F5">
        <w:rPr>
          <w:rFonts w:ascii="Times New Roman" w:hAnsi="Times New Roman"/>
          <w:b/>
          <w:sz w:val="24"/>
          <w:szCs w:val="24"/>
        </w:rPr>
        <w:t xml:space="preserve"> </w:t>
      </w:r>
      <w:r w:rsidR="002405F5" w:rsidRPr="002405F5">
        <w:rPr>
          <w:rFonts w:ascii="Times New Roman" w:hAnsi="Times New Roman"/>
          <w:b/>
          <w:sz w:val="24"/>
          <w:szCs w:val="24"/>
        </w:rPr>
        <w:t>č.</w:t>
      </w:r>
      <w:r w:rsidR="00933731">
        <w:rPr>
          <w:rFonts w:ascii="Times New Roman" w:hAnsi="Times New Roman"/>
          <w:b/>
          <w:sz w:val="24"/>
          <w:szCs w:val="24"/>
        </w:rPr>
        <w:t xml:space="preserve"> </w:t>
      </w:r>
      <w:r w:rsidR="002405F5" w:rsidRPr="002405F5">
        <w:rPr>
          <w:rFonts w:ascii="Times New Roman" w:hAnsi="Times New Roman"/>
          <w:b/>
          <w:sz w:val="24"/>
          <w:szCs w:val="24"/>
        </w:rPr>
        <w:t>j</w:t>
      </w:r>
      <w:r w:rsidRPr="002405F5">
        <w:rPr>
          <w:rFonts w:ascii="Times New Roman" w:hAnsi="Times New Roman"/>
          <w:b/>
          <w:sz w:val="24"/>
          <w:szCs w:val="24"/>
        </w:rPr>
        <w:t xml:space="preserve">. </w:t>
      </w:r>
      <w:r w:rsidR="002405F5" w:rsidRPr="002405F5">
        <w:rPr>
          <w:rFonts w:ascii="Times New Roman" w:hAnsi="Times New Roman"/>
          <w:b/>
          <w:sz w:val="24"/>
          <w:szCs w:val="24"/>
        </w:rPr>
        <w:t>4</w:t>
      </w:r>
      <w:r w:rsidRPr="002405F5">
        <w:rPr>
          <w:rFonts w:ascii="Times New Roman" w:hAnsi="Times New Roman"/>
          <w:b/>
          <w:sz w:val="24"/>
          <w:szCs w:val="24"/>
        </w:rPr>
        <w:t xml:space="preserve"> </w:t>
      </w:r>
      <w:r w:rsidR="002405F5" w:rsidRPr="002405F5">
        <w:rPr>
          <w:rFonts w:ascii="Times New Roman" w:hAnsi="Times New Roman"/>
          <w:b/>
          <w:sz w:val="24"/>
          <w:szCs w:val="24"/>
        </w:rPr>
        <w:t>C</w:t>
      </w:r>
      <w:r w:rsidRPr="002405F5">
        <w:rPr>
          <w:rFonts w:ascii="Times New Roman" w:hAnsi="Times New Roman"/>
          <w:b/>
          <w:sz w:val="24"/>
          <w:szCs w:val="24"/>
        </w:rPr>
        <w:t xml:space="preserve"> </w:t>
      </w:r>
      <w:r w:rsidR="002405F5" w:rsidRPr="002405F5">
        <w:rPr>
          <w:rFonts w:ascii="Times New Roman" w:hAnsi="Times New Roman"/>
          <w:b/>
          <w:sz w:val="24"/>
          <w:szCs w:val="24"/>
        </w:rPr>
        <w:t>355/2015 - 65</w:t>
      </w:r>
      <w:r w:rsidRPr="002405F5">
        <w:rPr>
          <w:rFonts w:ascii="Times New Roman" w:hAnsi="Times New Roman"/>
          <w:b/>
          <w:sz w:val="24"/>
          <w:szCs w:val="24"/>
        </w:rPr>
        <w:t xml:space="preserve"> ze dne 1</w:t>
      </w:r>
      <w:r w:rsidR="002405F5" w:rsidRPr="002405F5">
        <w:rPr>
          <w:rFonts w:ascii="Times New Roman" w:hAnsi="Times New Roman"/>
          <w:b/>
          <w:sz w:val="24"/>
          <w:szCs w:val="24"/>
        </w:rPr>
        <w:t>7</w:t>
      </w:r>
      <w:r w:rsidRPr="002405F5">
        <w:rPr>
          <w:rFonts w:ascii="Times New Roman" w:hAnsi="Times New Roman"/>
          <w:b/>
          <w:sz w:val="24"/>
          <w:szCs w:val="24"/>
        </w:rPr>
        <w:t xml:space="preserve">. </w:t>
      </w:r>
      <w:r w:rsidR="002405F5" w:rsidRPr="002405F5">
        <w:rPr>
          <w:rFonts w:ascii="Times New Roman" w:hAnsi="Times New Roman"/>
          <w:b/>
          <w:sz w:val="24"/>
          <w:szCs w:val="24"/>
        </w:rPr>
        <w:t>5</w:t>
      </w:r>
      <w:r w:rsidRPr="002405F5">
        <w:rPr>
          <w:rFonts w:ascii="Times New Roman" w:hAnsi="Times New Roman"/>
          <w:b/>
          <w:sz w:val="24"/>
          <w:szCs w:val="24"/>
        </w:rPr>
        <w:t>.</w:t>
      </w:r>
      <w:r w:rsidR="003D3B26" w:rsidRPr="002405F5">
        <w:rPr>
          <w:rFonts w:ascii="Times New Roman" w:hAnsi="Times New Roman"/>
          <w:b/>
          <w:sz w:val="24"/>
          <w:szCs w:val="24"/>
        </w:rPr>
        <w:t xml:space="preserve"> 201</w:t>
      </w:r>
      <w:r w:rsidR="002405F5" w:rsidRPr="002405F5">
        <w:rPr>
          <w:rFonts w:ascii="Times New Roman" w:hAnsi="Times New Roman"/>
          <w:b/>
          <w:sz w:val="24"/>
          <w:szCs w:val="24"/>
        </w:rPr>
        <w:t>6</w:t>
      </w:r>
      <w:r w:rsidRPr="002405F5">
        <w:rPr>
          <w:rFonts w:ascii="Times New Roman" w:hAnsi="Times New Roman"/>
          <w:b/>
          <w:sz w:val="24"/>
          <w:szCs w:val="24"/>
        </w:rPr>
        <w:t xml:space="preserve"> (</w:t>
      </w:r>
      <w:r w:rsidR="002405F5" w:rsidRPr="002405F5">
        <w:rPr>
          <w:rFonts w:ascii="Times New Roman" w:hAnsi="Times New Roman"/>
          <w:b/>
          <w:sz w:val="24"/>
          <w:szCs w:val="24"/>
        </w:rPr>
        <w:t>E</w:t>
      </w:r>
      <w:r w:rsidR="003D3B26" w:rsidRPr="002405F5">
        <w:rPr>
          <w:rFonts w:ascii="Times New Roman" w:hAnsi="Times New Roman"/>
          <w:b/>
          <w:sz w:val="24"/>
          <w:szCs w:val="24"/>
        </w:rPr>
        <w:t>0</w:t>
      </w:r>
      <w:r w:rsidR="002405F5" w:rsidRPr="002405F5">
        <w:rPr>
          <w:rFonts w:ascii="Times New Roman" w:hAnsi="Times New Roman"/>
          <w:b/>
          <w:sz w:val="24"/>
          <w:szCs w:val="24"/>
        </w:rPr>
        <w:t>18</w:t>
      </w:r>
      <w:r w:rsidRPr="002405F5">
        <w:rPr>
          <w:rFonts w:ascii="Times New Roman" w:hAnsi="Times New Roman"/>
          <w:b/>
          <w:sz w:val="24"/>
          <w:szCs w:val="24"/>
        </w:rPr>
        <w:t>)</w:t>
      </w:r>
    </w:p>
    <w:p w:rsidR="00C72EC3" w:rsidRPr="00A77526" w:rsidRDefault="00C72EC3" w:rsidP="00C72E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526">
        <w:rPr>
          <w:rFonts w:ascii="Times New Roman" w:hAnsi="Times New Roman"/>
          <w:b/>
          <w:sz w:val="24"/>
          <w:szCs w:val="24"/>
        </w:rPr>
        <w:t>vybrané části judikátu:</w:t>
      </w:r>
    </w:p>
    <w:p w:rsidR="002405F5" w:rsidRPr="002405F5" w:rsidRDefault="002405F5" w:rsidP="002405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05F5">
        <w:rPr>
          <w:rFonts w:ascii="Times New Roman" w:hAnsi="Times New Roman"/>
          <w:sz w:val="24"/>
          <w:szCs w:val="24"/>
        </w:rPr>
        <w:t>Následně přímo ze zákona došlo postupem podle shora citovaného § 6 odst. 1 zákona č. 172/91 Sb., o přechodu některých věcí z majetku České republiky do vlastnictví obcí, a to citovaným rozhodnutím ministerstva kultury ze 14. 4. 1995 k převodu veškerého majetku, ke kterému měla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5F5">
        <w:rPr>
          <w:rFonts w:ascii="Times New Roman" w:hAnsi="Times New Roman"/>
          <w:sz w:val="24"/>
          <w:szCs w:val="24"/>
        </w:rPr>
        <w:t xml:space="preserve">dříve právo hospodaření příspěvková organizace Historické muzeum </w:t>
      </w:r>
      <w:r>
        <w:rPr>
          <w:rFonts w:ascii="Times New Roman" w:hAnsi="Times New Roman"/>
          <w:sz w:val="24"/>
          <w:szCs w:val="24"/>
        </w:rPr>
        <w:t>H</w:t>
      </w:r>
      <w:r w:rsidRPr="002405F5">
        <w:rPr>
          <w:rFonts w:ascii="Times New Roman" w:hAnsi="Times New Roman"/>
          <w:sz w:val="24"/>
          <w:szCs w:val="24"/>
        </w:rPr>
        <w:t xml:space="preserve"> (předtím jak je popsáno v hospodářských smlouvách Historické muzeum města </w:t>
      </w:r>
      <w:r>
        <w:rPr>
          <w:rFonts w:ascii="Times New Roman" w:hAnsi="Times New Roman"/>
          <w:sz w:val="24"/>
          <w:szCs w:val="24"/>
        </w:rPr>
        <w:t>H</w:t>
      </w:r>
      <w:r w:rsidRPr="002405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05F5">
        <w:rPr>
          <w:rFonts w:ascii="Times New Roman" w:hAnsi="Times New Roman"/>
          <w:sz w:val="24"/>
          <w:szCs w:val="24"/>
        </w:rPr>
        <w:t>ve</w:t>
      </w:r>
      <w:proofErr w:type="gramEnd"/>
      <w:r w:rsidRPr="00240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2405F5">
        <w:rPr>
          <w:rFonts w:ascii="Times New Roman" w:hAnsi="Times New Roman"/>
          <w:sz w:val="24"/>
          <w:szCs w:val="24"/>
        </w:rPr>
        <w:t>). Dle podacího razítka došlo toto rozhodnutí žalobci 18. 4. 1995 a tímto datem nabylo účinnosti. Nejméně od tohoto data je tedy žalobce ve smyslu ustanovení § 1091 odst. 2 NOZ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5F5">
        <w:rPr>
          <w:rFonts w:ascii="Times New Roman" w:hAnsi="Times New Roman"/>
          <w:i/>
          <w:sz w:val="24"/>
          <w:szCs w:val="24"/>
        </w:rPr>
        <w:t>/zákon č. 89/2012 Sb., občanský zákoník, ve znění pozdějších předpisů/</w:t>
      </w:r>
      <w:r w:rsidRPr="002405F5">
        <w:rPr>
          <w:rFonts w:ascii="Times New Roman" w:hAnsi="Times New Roman"/>
          <w:sz w:val="24"/>
          <w:szCs w:val="24"/>
        </w:rPr>
        <w:t xml:space="preserve"> v dobré víře, že mu věci, u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 xml:space="preserve">nichž se domáhá určení vlastnictví tímto rozsudkem, patří a i pokud by se jednalo o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 xml:space="preserve">nemovitosti, pak datem 20. 4. 2005 by žalobce postupem podle § 1089 odst. 1 NOZ nabyl </w:t>
      </w:r>
      <w:r w:rsidRPr="002405F5">
        <w:rPr>
          <w:rFonts w:ascii="Times New Roman" w:hAnsi="Times New Roman"/>
          <w:sz w:val="24"/>
          <w:szCs w:val="24"/>
        </w:rPr>
        <w:lastRenderedPageBreak/>
        <w:t>originálním způsobem vlastnické právo k věcem, k nimž se určení vlastnického práva touto žalobou domáhá. Titulem k nabytí dobré víry o tom, že mu věc patří</w:t>
      </w:r>
      <w:r w:rsidR="00933731">
        <w:rPr>
          <w:rFonts w:ascii="Times New Roman" w:hAnsi="Times New Roman"/>
          <w:sz w:val="24"/>
          <w:szCs w:val="24"/>
        </w:rPr>
        <w:t>,</w:t>
      </w:r>
      <w:r w:rsidRPr="002405F5">
        <w:rPr>
          <w:rFonts w:ascii="Times New Roman" w:hAnsi="Times New Roman"/>
          <w:sz w:val="24"/>
          <w:szCs w:val="24"/>
        </w:rPr>
        <w:t xml:space="preserve"> je citované rozhodnutí ministerstva kultury uvádějící, že se převádí Historické muzeum </w:t>
      </w:r>
      <w:r>
        <w:rPr>
          <w:rFonts w:ascii="Times New Roman" w:hAnsi="Times New Roman"/>
          <w:sz w:val="24"/>
          <w:szCs w:val="24"/>
        </w:rPr>
        <w:t>H</w:t>
      </w:r>
      <w:r w:rsidRPr="002405F5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C</w:t>
      </w:r>
      <w:r w:rsidRPr="002405F5">
        <w:rPr>
          <w:rFonts w:ascii="Times New Roman" w:hAnsi="Times New Roman"/>
          <w:sz w:val="24"/>
          <w:szCs w:val="24"/>
        </w:rPr>
        <w:t xml:space="preserve"> včetně jeho sbírkových fondů.</w:t>
      </w:r>
    </w:p>
    <w:p w:rsidR="00C72EC3" w:rsidRPr="00A77526" w:rsidRDefault="002405F5" w:rsidP="002405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05F5">
        <w:rPr>
          <w:rFonts w:ascii="Times New Roman" w:hAnsi="Times New Roman"/>
          <w:sz w:val="24"/>
          <w:szCs w:val="24"/>
        </w:rPr>
        <w:t>Z pohledu soudu by bylo nadbytečné směřovat dokazování k definitivnímu vyřešení otázky, zda se v případě souboru předmětů, k nimž se žalobce domáhá určení vlastnického práva, jedná o nemovitosti či o věci movité. Takovéto dokazování by si vyžádalo odborné, zejména stavebně-technické posouzení, zda tvoří každá jednotlivá věc stavbu spojenou se zemí pevným základem, přičemž některé z věcí tvoří jednotlivé sochy, některé z věci jsou sousoší, jiné jsou vázy a jen některé se nacházejí v zámeckém parku, takže namátkově například položka označená 447/;SL 81 je pískovcová socha – ležící mladík v klíně na světlém podstavci, nacházející se v zámeckých interiérech – Divadelní sál, takto nemovitostí nepochybně není. Naopak lze přisvědčit procesnímu stanovisku žalobce, že jak sochařské prvky, tak i skulptury v zámku společně s ostatními architektonickými památkami tvoří jeden funkční celek, přičemž pokud by o nemovitosti šlo, respektive ty předměty žalobou popsané, které by byly za nemovitosti označeny</w:t>
      </w:r>
      <w:r w:rsidR="00933731">
        <w:rPr>
          <w:rFonts w:ascii="Times New Roman" w:hAnsi="Times New Roman"/>
          <w:sz w:val="24"/>
          <w:szCs w:val="24"/>
        </w:rPr>
        <w:t>,</w:t>
      </w:r>
      <w:r w:rsidRPr="002405F5">
        <w:rPr>
          <w:rFonts w:ascii="Times New Roman" w:hAnsi="Times New Roman"/>
          <w:sz w:val="24"/>
          <w:szCs w:val="24"/>
        </w:rPr>
        <w:t xml:space="preserve"> by se takto také stávaly vlastnictvím žalobce z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 xml:space="preserve">principu </w:t>
      </w:r>
      <w:proofErr w:type="spellStart"/>
      <w:r w:rsidRPr="002405F5">
        <w:rPr>
          <w:rFonts w:ascii="Times New Roman" w:hAnsi="Times New Roman"/>
          <w:sz w:val="24"/>
          <w:szCs w:val="24"/>
        </w:rPr>
        <w:t>superficies</w:t>
      </w:r>
      <w:proofErr w:type="spellEnd"/>
      <w:r w:rsidRPr="00240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5F5">
        <w:rPr>
          <w:rFonts w:ascii="Times New Roman" w:hAnsi="Times New Roman"/>
          <w:sz w:val="24"/>
          <w:szCs w:val="24"/>
        </w:rPr>
        <w:t>solo</w:t>
      </w:r>
      <w:proofErr w:type="spellEnd"/>
      <w:r w:rsidRPr="002405F5">
        <w:rPr>
          <w:rFonts w:ascii="Times New Roman" w:hAnsi="Times New Roman"/>
          <w:sz w:val="24"/>
          <w:szCs w:val="24"/>
        </w:rPr>
        <w:t xml:space="preserve"> cedit, od doby svého vzniku tvořily se zámkem jeden funkční celek, původně ve smyslu ustanovení § 302 ABGB </w:t>
      </w:r>
      <w:r>
        <w:rPr>
          <w:rFonts w:ascii="Times New Roman" w:hAnsi="Times New Roman"/>
          <w:i/>
          <w:sz w:val="24"/>
          <w:szCs w:val="24"/>
        </w:rPr>
        <w:t>/</w:t>
      </w:r>
      <w:r w:rsidRPr="002405F5">
        <w:rPr>
          <w:rFonts w:ascii="Times New Roman" w:hAnsi="Times New Roman"/>
          <w:i/>
          <w:sz w:val="24"/>
          <w:szCs w:val="24"/>
        </w:rPr>
        <w:t>Všeobecný občanský zákoník z roku 1811</w:t>
      </w:r>
      <w:r>
        <w:rPr>
          <w:rFonts w:ascii="Times New Roman" w:hAnsi="Times New Roman"/>
          <w:i/>
          <w:sz w:val="24"/>
          <w:szCs w:val="24"/>
        </w:rPr>
        <w:t>/</w:t>
      </w:r>
      <w:r w:rsidRPr="002405F5">
        <w:rPr>
          <w:rFonts w:ascii="Times New Roman" w:hAnsi="Times New Roman"/>
          <w:sz w:val="24"/>
          <w:szCs w:val="24"/>
        </w:rPr>
        <w:t xml:space="preserve"> a ani skutečnost, že tato zásada byla v mezidobí ukončení účinnosti obecného zákoníku občanského až po nástupu činnosti NOZ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5F5">
        <w:rPr>
          <w:rFonts w:ascii="Times New Roman" w:hAnsi="Times New Roman"/>
          <w:sz w:val="24"/>
          <w:szCs w:val="24"/>
        </w:rPr>
        <w:t xml:space="preserve">opuštěna, nemění nic na skutečnosti, že pokud tento jeden funkční celek byl takto vytvořen, musí být takto chápán i za současného stavu. Z tohoto pohledu nepřisvědčil soud procesní obraně žalovaného vycházející ze stanoviska ministerstva kultury z 28. 7. 2011, které jednak uvažuje předmětné sochy jednoznačně za nemovitosti a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 xml:space="preserve">z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 xml:space="preserve">toho dovozuje, že jsou samostatnými věcmi, k jejichž převodu do vlastnictví žalobce rozhodnutím ministra kultury ze 14. 4. 1995 nedošlo, a proto k nim má postupem podle § 10 písm. a) zákona č. 219/2000 Sb. právo hospodaření podle § 11 odst. 2 žalovaný. Obdobně neobstojí požadavek žalovaného prezentovaný v souvisejícím dopise ministerstva financí z 9. 12. 2015, který váže přechod majetku z vlastnictví státu na město </w:t>
      </w:r>
      <w:r>
        <w:rPr>
          <w:rFonts w:ascii="Times New Roman" w:hAnsi="Times New Roman"/>
          <w:sz w:val="24"/>
          <w:szCs w:val="24"/>
        </w:rPr>
        <w:t>H</w:t>
      </w:r>
      <w:r w:rsidRPr="002405F5">
        <w:rPr>
          <w:rFonts w:ascii="Times New Roman" w:hAnsi="Times New Roman"/>
          <w:sz w:val="24"/>
          <w:szCs w:val="24"/>
        </w:rPr>
        <w:t xml:space="preserve"> na doložení soupisu majetku, v němž budou figurovat předmětné sochy, přičemž pokud nebudou schopni předmětný soupis doložit, musí být tyto předměty, které jsou taktéž označovány jako nemovitosti ve vlastnictví státu s právem hospodaření </w:t>
      </w:r>
      <w:proofErr w:type="gramStart"/>
      <w:r w:rsidRPr="002405F5">
        <w:rPr>
          <w:rFonts w:ascii="Times New Roman" w:hAnsi="Times New Roman"/>
          <w:sz w:val="24"/>
          <w:szCs w:val="24"/>
        </w:rPr>
        <w:t>žalobce. ... Nadto</w:t>
      </w:r>
      <w:proofErr w:type="gramEnd"/>
      <w:r w:rsidRPr="002405F5">
        <w:rPr>
          <w:rFonts w:ascii="Times New Roman" w:hAnsi="Times New Roman"/>
          <w:sz w:val="24"/>
          <w:szCs w:val="24"/>
        </w:rPr>
        <w:t xml:space="preserve"> původní kulturní mobiliář Státního zámku </w:t>
      </w:r>
      <w:r>
        <w:rPr>
          <w:rFonts w:ascii="Times New Roman" w:hAnsi="Times New Roman"/>
          <w:sz w:val="24"/>
          <w:szCs w:val="24"/>
        </w:rPr>
        <w:t>H</w:t>
      </w:r>
      <w:r w:rsidRPr="002405F5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C</w:t>
      </w:r>
      <w:r w:rsidRPr="002405F5">
        <w:rPr>
          <w:rFonts w:ascii="Times New Roman" w:hAnsi="Times New Roman"/>
          <w:sz w:val="24"/>
          <w:szCs w:val="24"/>
        </w:rPr>
        <w:t xml:space="preserve"> výčet těchto objektů s jejich popisem obsahuje, a to i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 xml:space="preserve">přisvědčovalo názoru, že se o nemovitosti nejedná, když i laickou úvahou lze dojít k závěru, že byť některé ze soch jsou spojeny se zemí pevným základem, pak jejich případné vynětí a </w:t>
      </w:r>
      <w:r w:rsidR="00933731">
        <w:rPr>
          <w:rFonts w:ascii="Times New Roman" w:hAnsi="Times New Roman"/>
          <w:sz w:val="24"/>
          <w:szCs w:val="24"/>
        </w:rPr>
        <w:t> </w:t>
      </w:r>
      <w:r w:rsidRPr="002405F5">
        <w:rPr>
          <w:rFonts w:ascii="Times New Roman" w:hAnsi="Times New Roman"/>
          <w:sz w:val="24"/>
          <w:szCs w:val="24"/>
        </w:rPr>
        <w:t>přemístění by neporušovalo jejich podstatu, což je právě typické pro nemovitost, která bez porušení podstaty nemůže být přemístěna.</w:t>
      </w:r>
    </w:p>
    <w:p w:rsidR="00D60113" w:rsidRPr="00A77526" w:rsidRDefault="00D01737" w:rsidP="00D60113">
      <w:pPr>
        <w:pStyle w:val="StylNadpis4Ped6bZa6b"/>
      </w:pPr>
      <w:bookmarkStart w:id="3" w:name="_Toc22043634"/>
      <w:r>
        <w:t xml:space="preserve">Řízení o vymezení ochranného pásma podle </w:t>
      </w:r>
      <w:r w:rsidR="00933731">
        <w:t xml:space="preserve">§ </w:t>
      </w:r>
      <w:r>
        <w:t>17 zákona o státní památkové péči je výlučně řízením z moci úřední</w:t>
      </w:r>
      <w:bookmarkEnd w:id="3"/>
    </w:p>
    <w:p w:rsidR="009A6A9C" w:rsidRDefault="00D01737" w:rsidP="00D601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1737">
        <w:rPr>
          <w:rFonts w:ascii="Times New Roman" w:hAnsi="Times New Roman"/>
          <w:b/>
          <w:sz w:val="24"/>
          <w:szCs w:val="24"/>
        </w:rPr>
        <w:t>Usnesení Ústavního soudu ČR</w:t>
      </w:r>
      <w:r w:rsidR="00D60113" w:rsidRPr="00D017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0113" w:rsidRPr="00D01737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D60113" w:rsidRPr="00D01737">
        <w:rPr>
          <w:rFonts w:ascii="Times New Roman" w:hAnsi="Times New Roman"/>
          <w:b/>
          <w:sz w:val="24"/>
          <w:szCs w:val="24"/>
        </w:rPr>
        <w:t xml:space="preserve">. zn. </w:t>
      </w:r>
      <w:r w:rsidRPr="00D01737">
        <w:rPr>
          <w:rFonts w:ascii="Times New Roman" w:hAnsi="Times New Roman"/>
          <w:b/>
          <w:sz w:val="24"/>
          <w:szCs w:val="24"/>
        </w:rPr>
        <w:t>II. ÚS 2093/18</w:t>
      </w:r>
      <w:r w:rsidR="00D60113" w:rsidRPr="00D01737">
        <w:rPr>
          <w:rFonts w:ascii="Times New Roman" w:hAnsi="Times New Roman"/>
          <w:b/>
          <w:sz w:val="24"/>
          <w:szCs w:val="24"/>
        </w:rPr>
        <w:t xml:space="preserve"> z</w:t>
      </w:r>
      <w:r w:rsidR="004C0E64">
        <w:rPr>
          <w:rFonts w:ascii="Times New Roman" w:hAnsi="Times New Roman"/>
          <w:b/>
          <w:sz w:val="24"/>
          <w:szCs w:val="24"/>
        </w:rPr>
        <w:t>e dne</w:t>
      </w:r>
      <w:r w:rsidR="00D60113" w:rsidRPr="00D01737">
        <w:rPr>
          <w:rFonts w:ascii="Times New Roman" w:hAnsi="Times New Roman"/>
          <w:b/>
          <w:sz w:val="24"/>
          <w:szCs w:val="24"/>
        </w:rPr>
        <w:t> </w:t>
      </w:r>
      <w:r w:rsidRPr="00D01737">
        <w:rPr>
          <w:rFonts w:ascii="Times New Roman" w:hAnsi="Times New Roman"/>
          <w:b/>
          <w:sz w:val="24"/>
          <w:szCs w:val="24"/>
        </w:rPr>
        <w:t>28</w:t>
      </w:r>
      <w:r w:rsidR="00D60113" w:rsidRPr="00D01737">
        <w:rPr>
          <w:rFonts w:ascii="Times New Roman" w:hAnsi="Times New Roman"/>
          <w:b/>
          <w:sz w:val="24"/>
          <w:szCs w:val="24"/>
        </w:rPr>
        <w:t xml:space="preserve">. </w:t>
      </w:r>
      <w:r w:rsidRPr="00D01737">
        <w:rPr>
          <w:rFonts w:ascii="Times New Roman" w:hAnsi="Times New Roman"/>
          <w:b/>
          <w:sz w:val="24"/>
          <w:szCs w:val="24"/>
        </w:rPr>
        <w:t>8</w:t>
      </w:r>
      <w:r w:rsidR="00D60113" w:rsidRPr="00D01737">
        <w:rPr>
          <w:rFonts w:ascii="Times New Roman" w:hAnsi="Times New Roman"/>
          <w:b/>
          <w:sz w:val="24"/>
          <w:szCs w:val="24"/>
        </w:rPr>
        <w:t>. 201</w:t>
      </w:r>
      <w:r w:rsidRPr="00D01737">
        <w:rPr>
          <w:rFonts w:ascii="Times New Roman" w:hAnsi="Times New Roman"/>
          <w:b/>
          <w:sz w:val="24"/>
          <w:szCs w:val="24"/>
        </w:rPr>
        <w:t>9</w:t>
      </w:r>
      <w:r w:rsidR="00D60113" w:rsidRPr="00D01737">
        <w:rPr>
          <w:rFonts w:ascii="Times New Roman" w:hAnsi="Times New Roman"/>
          <w:b/>
          <w:sz w:val="24"/>
          <w:szCs w:val="24"/>
        </w:rPr>
        <w:t xml:space="preserve"> (</w:t>
      </w:r>
      <w:r w:rsidRPr="00D01737">
        <w:rPr>
          <w:rFonts w:ascii="Times New Roman" w:hAnsi="Times New Roman"/>
          <w:b/>
          <w:sz w:val="24"/>
          <w:szCs w:val="24"/>
        </w:rPr>
        <w:t>A026</w:t>
      </w:r>
      <w:r w:rsidR="00D60113" w:rsidRPr="00D01737">
        <w:rPr>
          <w:rFonts w:ascii="Times New Roman" w:hAnsi="Times New Roman"/>
          <w:b/>
          <w:sz w:val="24"/>
          <w:szCs w:val="24"/>
        </w:rPr>
        <w:t>)</w:t>
      </w:r>
    </w:p>
    <w:p w:rsidR="00D60113" w:rsidRPr="00A77526" w:rsidRDefault="00D60113" w:rsidP="00D601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526">
        <w:rPr>
          <w:rFonts w:ascii="Times New Roman" w:hAnsi="Times New Roman"/>
          <w:b/>
          <w:sz w:val="24"/>
          <w:szCs w:val="24"/>
        </w:rPr>
        <w:t>vybrané části judikátu:</w:t>
      </w:r>
    </w:p>
    <w:p w:rsidR="00D01737" w:rsidRPr="00D01737" w:rsidRDefault="00D01737" w:rsidP="00D017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1737">
        <w:rPr>
          <w:rFonts w:ascii="Times New Roman" w:hAnsi="Times New Roman"/>
          <w:sz w:val="24"/>
          <w:szCs w:val="24"/>
        </w:rPr>
        <w:t xml:space="preserve">Nejvyšší správní soud napadeným rozsudkem zamítl kasační stížnost stěžovatele, neboť dospěl k závěru, že řízení podle § 17 odst. 1 zákona č. 20/1987 Sb., o státní památkové </w:t>
      </w:r>
      <w:r w:rsidRPr="00D01737">
        <w:rPr>
          <w:rFonts w:ascii="Times New Roman" w:hAnsi="Times New Roman"/>
          <w:sz w:val="24"/>
          <w:szCs w:val="24"/>
        </w:rPr>
        <w:lastRenderedPageBreak/>
        <w:t>péči (dále jen "zákon o památkové péči"), lze zahájit pouze z moci úřední, nikoliv jako řízení o žádosti. Navrhoval-li proto stěžovatel vymezení ochranného pásma kulturní památky v jeho vlastnictví, šlo podle Nejvyššího správního soudu toliko o podnět k zahájení daného řízení, kterým nebyly správní orgány vázány.</w:t>
      </w:r>
    </w:p>
    <w:p w:rsidR="00D01737" w:rsidRPr="00D01737" w:rsidRDefault="00D01737" w:rsidP="00D017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1737">
        <w:rPr>
          <w:rFonts w:ascii="Times New Roman" w:hAnsi="Times New Roman"/>
          <w:sz w:val="24"/>
          <w:szCs w:val="24"/>
        </w:rPr>
        <w:t xml:space="preserve">Ústavní soud v minulosti již také mnohokrát zdůraznil, že zásadně není oprávněn zasahovat do rozhodovací činnosti soudů, neboť není vrcholem jejich soustavy (srov. čl. 83, čl. 90 a čl. 91 odst. 1 Ústavy). </w:t>
      </w:r>
    </w:p>
    <w:p w:rsidR="006572E1" w:rsidRPr="00A77526" w:rsidRDefault="00D01737" w:rsidP="00D017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1737">
        <w:rPr>
          <w:rFonts w:ascii="Times New Roman" w:hAnsi="Times New Roman"/>
          <w:sz w:val="24"/>
          <w:szCs w:val="24"/>
        </w:rPr>
        <w:t xml:space="preserve">Nejvyšší správní soud tak dostatečně vysvětlil, jak ke svému závěru dospěl a jeho interpretace </w:t>
      </w:r>
      <w:proofErr w:type="spellStart"/>
      <w:r w:rsidRPr="00D01737">
        <w:rPr>
          <w:rFonts w:ascii="Times New Roman" w:hAnsi="Times New Roman"/>
          <w:sz w:val="24"/>
          <w:szCs w:val="24"/>
        </w:rPr>
        <w:t>podústavního</w:t>
      </w:r>
      <w:proofErr w:type="spellEnd"/>
      <w:r w:rsidRPr="00D01737">
        <w:rPr>
          <w:rFonts w:ascii="Times New Roman" w:hAnsi="Times New Roman"/>
          <w:sz w:val="24"/>
          <w:szCs w:val="24"/>
        </w:rPr>
        <w:t xml:space="preserve"> práva je podle Ústavního soudu ústavně akceptovatelná.</w:t>
      </w:r>
    </w:p>
    <w:p w:rsidR="00FD7AAF" w:rsidRPr="00A77526" w:rsidRDefault="006C5028" w:rsidP="00FD7AAF">
      <w:pPr>
        <w:pStyle w:val="StylNadpis4Ped6bZa6b"/>
      </w:pPr>
      <w:bookmarkStart w:id="4" w:name="_Toc527357275"/>
      <w:bookmarkStart w:id="5" w:name="_Toc22043635"/>
      <w:r w:rsidRPr="00A77526">
        <w:t>Kulturní památky zapsané do státních seznamů za účinnosti zákona o kulturních památkách a jejich přechod do režimu zákona o státní památkové péče</w:t>
      </w:r>
      <w:bookmarkEnd w:id="4"/>
      <w:bookmarkEnd w:id="5"/>
    </w:p>
    <w:p w:rsidR="00FD7AAF" w:rsidRPr="00A77526" w:rsidRDefault="00FD7AAF" w:rsidP="00FD7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5028">
        <w:rPr>
          <w:rFonts w:ascii="Times New Roman" w:hAnsi="Times New Roman"/>
          <w:b/>
          <w:sz w:val="24"/>
          <w:szCs w:val="24"/>
        </w:rPr>
        <w:t xml:space="preserve">Rozsudek Nejvyššího správního soudu </w:t>
      </w:r>
      <w:r w:rsidR="002405F5">
        <w:rPr>
          <w:rFonts w:ascii="Times New Roman" w:hAnsi="Times New Roman"/>
          <w:b/>
          <w:sz w:val="24"/>
          <w:szCs w:val="24"/>
        </w:rPr>
        <w:t>č</w:t>
      </w:r>
      <w:r w:rsidRPr="006C5028">
        <w:rPr>
          <w:rFonts w:ascii="Times New Roman" w:hAnsi="Times New Roman"/>
          <w:b/>
          <w:sz w:val="24"/>
          <w:szCs w:val="24"/>
        </w:rPr>
        <w:t>.</w:t>
      </w:r>
      <w:r w:rsidR="009D4AFA">
        <w:rPr>
          <w:rFonts w:ascii="Times New Roman" w:hAnsi="Times New Roman"/>
          <w:b/>
          <w:sz w:val="24"/>
          <w:szCs w:val="24"/>
        </w:rPr>
        <w:t xml:space="preserve"> </w:t>
      </w:r>
      <w:r w:rsidR="002405F5">
        <w:rPr>
          <w:rFonts w:ascii="Times New Roman" w:hAnsi="Times New Roman"/>
          <w:b/>
          <w:sz w:val="24"/>
          <w:szCs w:val="24"/>
        </w:rPr>
        <w:t>j</w:t>
      </w:r>
      <w:r w:rsidRPr="006C5028">
        <w:rPr>
          <w:rFonts w:ascii="Times New Roman" w:hAnsi="Times New Roman"/>
          <w:b/>
          <w:sz w:val="24"/>
          <w:szCs w:val="24"/>
        </w:rPr>
        <w:t xml:space="preserve">. </w:t>
      </w:r>
      <w:r w:rsidR="006C5028" w:rsidRPr="006C5028">
        <w:rPr>
          <w:rFonts w:ascii="Times New Roman" w:hAnsi="Times New Roman"/>
          <w:b/>
          <w:sz w:val="24"/>
          <w:szCs w:val="24"/>
        </w:rPr>
        <w:t>5 As 309/2018 - 40</w:t>
      </w:r>
      <w:r w:rsidRPr="006C5028">
        <w:rPr>
          <w:rFonts w:ascii="Times New Roman" w:hAnsi="Times New Roman"/>
          <w:b/>
          <w:sz w:val="24"/>
          <w:szCs w:val="24"/>
        </w:rPr>
        <w:t xml:space="preserve"> ze dne 1</w:t>
      </w:r>
      <w:r w:rsidR="006C5028" w:rsidRPr="006C5028">
        <w:rPr>
          <w:rFonts w:ascii="Times New Roman" w:hAnsi="Times New Roman"/>
          <w:b/>
          <w:sz w:val="24"/>
          <w:szCs w:val="24"/>
        </w:rPr>
        <w:t>1</w:t>
      </w:r>
      <w:r w:rsidRPr="006C5028">
        <w:rPr>
          <w:rFonts w:ascii="Times New Roman" w:hAnsi="Times New Roman"/>
          <w:b/>
          <w:sz w:val="24"/>
          <w:szCs w:val="24"/>
        </w:rPr>
        <w:t xml:space="preserve">. </w:t>
      </w:r>
      <w:r w:rsidR="006C5028" w:rsidRPr="006C5028">
        <w:rPr>
          <w:rFonts w:ascii="Times New Roman" w:hAnsi="Times New Roman"/>
          <w:b/>
          <w:sz w:val="24"/>
          <w:szCs w:val="24"/>
        </w:rPr>
        <w:t>4</w:t>
      </w:r>
      <w:r w:rsidRPr="006C5028">
        <w:rPr>
          <w:rFonts w:ascii="Times New Roman" w:hAnsi="Times New Roman"/>
          <w:b/>
          <w:sz w:val="24"/>
          <w:szCs w:val="24"/>
        </w:rPr>
        <w:t>. 201</w:t>
      </w:r>
      <w:r w:rsidR="006C5028" w:rsidRPr="006C5028">
        <w:rPr>
          <w:rFonts w:ascii="Times New Roman" w:hAnsi="Times New Roman"/>
          <w:b/>
          <w:sz w:val="24"/>
          <w:szCs w:val="24"/>
        </w:rPr>
        <w:t>9</w:t>
      </w:r>
      <w:r w:rsidRPr="006C5028">
        <w:rPr>
          <w:rFonts w:ascii="Times New Roman" w:hAnsi="Times New Roman"/>
          <w:b/>
          <w:sz w:val="24"/>
          <w:szCs w:val="24"/>
        </w:rPr>
        <w:t xml:space="preserve"> (</w:t>
      </w:r>
      <w:r w:rsidR="00A77526" w:rsidRPr="006C5028">
        <w:rPr>
          <w:rFonts w:ascii="Times New Roman" w:hAnsi="Times New Roman"/>
          <w:b/>
          <w:sz w:val="24"/>
          <w:szCs w:val="24"/>
        </w:rPr>
        <w:t>B2</w:t>
      </w:r>
      <w:r w:rsidR="00160AD4" w:rsidRPr="006C5028">
        <w:rPr>
          <w:rFonts w:ascii="Times New Roman" w:hAnsi="Times New Roman"/>
          <w:b/>
          <w:sz w:val="24"/>
          <w:szCs w:val="24"/>
        </w:rPr>
        <w:t>1</w:t>
      </w:r>
      <w:r w:rsidR="006C5028" w:rsidRPr="006C5028">
        <w:rPr>
          <w:rFonts w:ascii="Times New Roman" w:hAnsi="Times New Roman"/>
          <w:b/>
          <w:sz w:val="24"/>
          <w:szCs w:val="24"/>
        </w:rPr>
        <w:t>7</w:t>
      </w:r>
      <w:r w:rsidRPr="006C5028">
        <w:rPr>
          <w:rFonts w:ascii="Times New Roman" w:hAnsi="Times New Roman"/>
          <w:b/>
          <w:sz w:val="24"/>
          <w:szCs w:val="24"/>
        </w:rPr>
        <w:t>)</w:t>
      </w:r>
    </w:p>
    <w:p w:rsidR="00FD7AAF" w:rsidRPr="00A77526" w:rsidRDefault="00FD7AAF" w:rsidP="00FD7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526">
        <w:rPr>
          <w:rFonts w:ascii="Times New Roman" w:hAnsi="Times New Roman"/>
          <w:b/>
          <w:sz w:val="24"/>
          <w:szCs w:val="24"/>
        </w:rPr>
        <w:t>vybrané části judikátu: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 xml:space="preserve">Předmětem právního posouzení v tomto případě je, zdali lze průčelí, které bylo kulturní památkou za účinnosti zákona o kulturních památkách kulturní památkou i nadále považovat za kulturní památku ve smyslu zákona o státní památkové péči. Nejvyšší správní soud je přesvědčen, že právní závěry o určení věci jakožto kulturní památky jak za účinnosti zákona o kulturních památkách, tak za účinnosti zákona o státní památkové ochraně jsou v </w:t>
      </w:r>
      <w:r w:rsidR="004D27CC">
        <w:rPr>
          <w:rFonts w:ascii="Times New Roman" w:hAnsi="Times New Roman"/>
          <w:sz w:val="24"/>
          <w:szCs w:val="24"/>
        </w:rPr>
        <w:t> </w:t>
      </w:r>
      <w:r w:rsidRPr="006C5028">
        <w:rPr>
          <w:rFonts w:ascii="Times New Roman" w:hAnsi="Times New Roman"/>
          <w:sz w:val="24"/>
          <w:szCs w:val="24"/>
        </w:rPr>
        <w:t xml:space="preserve">rozhodnutí ze dne 7. 2. 2018, č. j. 9 As 330/2016 – 192 natolik obecně formulované, že jsou plně použitelné i na daný případ. Princip jednotnosti, bezrozpornosti právního řádu a jeho výkladu vyžaduje, aby i daná věc, byla posuzována na základě shodných právních výkladů dotčených zákonných ustanovení, a to zejména klíčového ustanovení § 42 odst. 1 zákona o </w:t>
      </w:r>
      <w:r w:rsidR="004D27CC">
        <w:rPr>
          <w:rFonts w:ascii="Times New Roman" w:hAnsi="Times New Roman"/>
          <w:sz w:val="24"/>
          <w:szCs w:val="24"/>
        </w:rPr>
        <w:t> </w:t>
      </w:r>
      <w:r w:rsidRPr="006C5028">
        <w:rPr>
          <w:rFonts w:ascii="Times New Roman" w:hAnsi="Times New Roman"/>
          <w:sz w:val="24"/>
          <w:szCs w:val="24"/>
        </w:rPr>
        <w:t>státní památkové péči. … Navíc i v rámci zachování předvídatelnosti soudních rozhodnutí je třeba respektovat jednotnost právních výkladů zákonných ustanovení, a nikoli si jejich výklad bez dalšího ve skutkově obdobném případu ad hoc upravovat.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Podle § 42 odst. 1 zákona o státní památkové péči „kulturní památky zapsané do státních seznamů kulturních památek podle dřívějších právních předpisů se považují za kulturní památky podle tohoto zákona.“ Již z jazykového znění zákonného ustanovení je zřejmé, že podle zákona o státní památkové péči se za kulturní památky považují ty, které byly zapsány do státního seznamu kulturních památek na základě dřívější právní úpravy. Zákonné znění citovaného ustanovení společně s ustálenou judikaturou shodně kladou důraz na existenci zápisu památky ve státních seznamech kulturních památek jako podmínku pro to, aby byla věc považována za kulturní památku i po 1. 1. 1988.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 xml:space="preserve">Sporným mezi účastníky bylo, zdali ve smyslu § 42 odst. 1 zákona o státní památkové péči lze opožděně zapsané průčelí do seznamu považovat za kulturní památku, když o jeho zápise do seznamu bylo rozhodnuto včas, tj. v době platného a účinného zákona o kulturních památkách. 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 xml:space="preserve">Jako kulturní památky totiž byly chráněny všechny věci, které naplňovaly znaky uvedené v § 2 odst. 1 daného zákona, byť nebyly zapsány ve státních seznamech kulturních památek. Pouze pro případ pochybností, zda jde o kulturní památku či nikoli, zákon o </w:t>
      </w:r>
      <w:r w:rsidR="004D27CC">
        <w:rPr>
          <w:rFonts w:ascii="Times New Roman" w:hAnsi="Times New Roman"/>
          <w:sz w:val="24"/>
          <w:szCs w:val="24"/>
        </w:rPr>
        <w:t> </w:t>
      </w:r>
      <w:r w:rsidRPr="006C5028">
        <w:rPr>
          <w:rFonts w:ascii="Times New Roman" w:hAnsi="Times New Roman"/>
          <w:sz w:val="24"/>
          <w:szCs w:val="24"/>
        </w:rPr>
        <w:t>kulturních památkách v § 2 odst. 3 počítal s vydáním deklaratorního rozhodnutí o tom, zda jde o kulturní památku.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lastRenderedPageBreak/>
        <w:t>Podle zákona o státní památkové péči se totiž věc stává kulturní památkou právní mocí rozhodnutí o prohlášení věci kulturní památkou dle § 2 odst. 1 zákona o státní památkové péči. Právě z důvodu odlišného pojetí bylo do § 42 odst. 1 zákona o státní památkové péči vtěleno přechodné ustanovení, které má zajišťovat určitou míru kontinuity ohledně ochrany kulturních památek.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Shodný výklad § 42 odst. 1 zákona o státní památkové péči zaujal Nejvyšší správní soud také v rozhodnutí ze dne 16. 7. 2008, č. j. 3 As 26/2008 - 72, kde šlo o případ, v němž k účinnosti zákona o státní památkové péči existoval zápis do příslušného státního seznamu kulturních památek a k danému dni se dochovalo i rozhodnutí o zápisu do seznamu. Nejvyšší správní soud v daném rozsudku zdůraznil, že „tento zápis byl jedinou nutnou podmínkou podle § 42 odst. 1 zákona č. 20/1987 Sb. k tomu, aby bylo možné věc nadále považovat za kulturní památku.“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Je tedy zcela zřejmé, že výklad statusu věci jako kulturní památky dle § 42 odst. 1 zákona o státní památkové péči je jednoznačně postaven na nezbytnosti být v příslušném seznamu jako památka zapsána nejpozději ke dni 1. 1. 1988. Městský soud oproti tomu shledal podstatným existenci rozhodnutí o zápisu věci do příslušného seznamu a samotný zápis měl za podružný administrativní úkon bez jakéhokoli vlivu na označení věci za kulturní památku. S ohledem na výše uvedené Nejvyšší správní soud shledal právní posouzení věci městským soudem nesprávným a v rozporu s ustálenou judikaturou správních soudů.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Tedy mezi účastníky sice není sporu o tom, že rozhodnutí o zápise ze dne 14. 12. 1987 bylo vydáno, není však již v jejich moci jej doložit. … Pro rozhodnutí v dané věci není rozhodnutí o zápise podstatným dokumentem. V této souvislosti je třeba zdůraznit správnost právního názoru zaujatého již citovanou judikaturou Nejvyššího správního soudu, jelikož zákonodárce tím, že ve znění zákonného ustanovení § 42 odst. 1 zákona o státní památkové péči kladl důraz toliko na provedený zápis památky do státního seznamu kulturních památek, tak činil i s vědomím rizika, kdy po uplynutí několika desítek let od provedení zápisu již nebude leckdy možné dohledat příslušné rozhodnutí o zápise.</w:t>
      </w:r>
    </w:p>
    <w:p w:rsidR="00F941F9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 xml:space="preserve">Nejvyšší správní soud shrnuje, že tím, že v dané věci nedošlo k zápisu průčelí do státního seznamu kulturních památek ke dni 1. 1. 1988, nýbrž později dne 7. 2. 1989, znamená, že průčelí dle § 42 odst. 1 zákona o státní památkové péči nemohlo mít ke dni 1. 1. 1988 status kulturní památky. Nejvyšší správní soud dává za pravdu správnímu orgánu také v tom, že v době faktického provedení zápisu průčelí do státního seznamu již nebyly státní seznamy kulturních památek aktivním soupisem, jelikož dle § 46 zákona o státní památkové péči přestala platit i vyhláška č. 116/1959 Ú. </w:t>
      </w:r>
      <w:proofErr w:type="gramStart"/>
      <w:r w:rsidRPr="006C5028">
        <w:rPr>
          <w:rFonts w:ascii="Times New Roman" w:hAnsi="Times New Roman"/>
          <w:sz w:val="24"/>
          <w:szCs w:val="24"/>
        </w:rPr>
        <w:t>l.</w:t>
      </w:r>
      <w:proofErr w:type="gramEnd"/>
      <w:r w:rsidRPr="006C5028">
        <w:rPr>
          <w:rFonts w:ascii="Times New Roman" w:hAnsi="Times New Roman"/>
          <w:sz w:val="24"/>
          <w:szCs w:val="24"/>
        </w:rPr>
        <w:t xml:space="preserve"> o evidenci kulturních památek. Zároveň dle § 7 odst. 1 zákona o státní památkové péči vznikl nový Ústřední seznam kulturních památek, odlišný od dřívějších státních seznamů. Tudíž provedený zápis průčelí do již neaktivního seznamu byl ve své podstatě neplatným úkonem.</w:t>
      </w:r>
    </w:p>
    <w:p w:rsidR="00CC161C" w:rsidRDefault="00CC16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cs-CZ"/>
        </w:rPr>
      </w:pPr>
      <w:r>
        <w:br w:type="page"/>
      </w:r>
    </w:p>
    <w:p w:rsidR="00A232E0" w:rsidRPr="00A77526" w:rsidRDefault="006C5028" w:rsidP="00A232E0">
      <w:pPr>
        <w:pStyle w:val="StylNadpis4Ped6bZa6b"/>
      </w:pPr>
      <w:bookmarkStart w:id="6" w:name="_Toc22043636"/>
      <w:r>
        <w:lastRenderedPageBreak/>
        <w:t>Nemožnost přezkumu nařízení vlády o prohlášení kulturní památky za národní kulturní památku v rámci správního soudnictví</w:t>
      </w:r>
      <w:bookmarkEnd w:id="6"/>
    </w:p>
    <w:p w:rsidR="00A232E0" w:rsidRPr="004E6EE1" w:rsidRDefault="00160AD4" w:rsidP="00A232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5028">
        <w:rPr>
          <w:rFonts w:ascii="Times New Roman" w:hAnsi="Times New Roman"/>
          <w:b/>
          <w:sz w:val="24"/>
          <w:szCs w:val="24"/>
        </w:rPr>
        <w:t xml:space="preserve">Rozsudek Nejvyššího správního soudu </w:t>
      </w:r>
      <w:proofErr w:type="gramStart"/>
      <w:r w:rsidR="002405F5">
        <w:rPr>
          <w:rFonts w:ascii="Times New Roman" w:hAnsi="Times New Roman"/>
          <w:b/>
          <w:sz w:val="24"/>
          <w:szCs w:val="24"/>
        </w:rPr>
        <w:t>č</w:t>
      </w:r>
      <w:r w:rsidRPr="006C5028">
        <w:rPr>
          <w:rFonts w:ascii="Times New Roman" w:hAnsi="Times New Roman"/>
          <w:b/>
          <w:sz w:val="24"/>
          <w:szCs w:val="24"/>
        </w:rPr>
        <w:t>.</w:t>
      </w:r>
      <w:r w:rsidR="002405F5">
        <w:rPr>
          <w:rFonts w:ascii="Times New Roman" w:hAnsi="Times New Roman"/>
          <w:b/>
          <w:sz w:val="24"/>
          <w:szCs w:val="24"/>
        </w:rPr>
        <w:t>j</w:t>
      </w:r>
      <w:r w:rsidRPr="006C502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C5028">
        <w:rPr>
          <w:rFonts w:ascii="Times New Roman" w:hAnsi="Times New Roman"/>
          <w:b/>
          <w:sz w:val="24"/>
          <w:szCs w:val="24"/>
        </w:rPr>
        <w:t xml:space="preserve"> 10 As 228/2018 - 23 ze dne 1</w:t>
      </w:r>
      <w:r w:rsidR="006C5028" w:rsidRPr="006C5028">
        <w:rPr>
          <w:rFonts w:ascii="Times New Roman" w:hAnsi="Times New Roman"/>
          <w:b/>
          <w:sz w:val="24"/>
          <w:szCs w:val="24"/>
        </w:rPr>
        <w:t>6</w:t>
      </w:r>
      <w:r w:rsidRPr="006C5028">
        <w:rPr>
          <w:rFonts w:ascii="Times New Roman" w:hAnsi="Times New Roman"/>
          <w:b/>
          <w:sz w:val="24"/>
          <w:szCs w:val="24"/>
        </w:rPr>
        <w:t xml:space="preserve">. </w:t>
      </w:r>
      <w:r w:rsidR="006C5028" w:rsidRPr="006C5028">
        <w:rPr>
          <w:rFonts w:ascii="Times New Roman" w:hAnsi="Times New Roman"/>
          <w:b/>
          <w:sz w:val="24"/>
          <w:szCs w:val="24"/>
        </w:rPr>
        <w:t>5</w:t>
      </w:r>
      <w:r w:rsidRPr="006C5028">
        <w:rPr>
          <w:rFonts w:ascii="Times New Roman" w:hAnsi="Times New Roman"/>
          <w:b/>
          <w:sz w:val="24"/>
          <w:szCs w:val="24"/>
        </w:rPr>
        <w:t>. 201</w:t>
      </w:r>
      <w:r w:rsidR="006C5028" w:rsidRPr="006C5028">
        <w:rPr>
          <w:rFonts w:ascii="Times New Roman" w:hAnsi="Times New Roman"/>
          <w:b/>
          <w:sz w:val="24"/>
          <w:szCs w:val="24"/>
        </w:rPr>
        <w:t>9</w:t>
      </w:r>
      <w:r w:rsidRPr="006C5028">
        <w:rPr>
          <w:rFonts w:ascii="Times New Roman" w:hAnsi="Times New Roman"/>
          <w:b/>
          <w:sz w:val="24"/>
          <w:szCs w:val="24"/>
        </w:rPr>
        <w:t xml:space="preserve"> (B218)</w:t>
      </w:r>
    </w:p>
    <w:p w:rsidR="00A232E0" w:rsidRPr="00A77526" w:rsidRDefault="00A232E0" w:rsidP="00A232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526">
        <w:rPr>
          <w:rFonts w:ascii="Times New Roman" w:hAnsi="Times New Roman"/>
          <w:b/>
          <w:sz w:val="24"/>
          <w:szCs w:val="24"/>
        </w:rPr>
        <w:t>vybrané části judikátu: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Nejvyšší správní soud </w:t>
      </w:r>
      <w:r w:rsidRPr="006C5028">
        <w:rPr>
          <w:rFonts w:ascii="Times New Roman" w:hAnsi="Times New Roman"/>
          <w:sz w:val="24"/>
          <w:szCs w:val="24"/>
        </w:rPr>
        <w:t>je přesvědčen, že správní žalobou nelze napadat obecný právní předpis, jako je nařízení vlády. To nelze obcházet ani způsobem, jakým to činí stěžovatelka, totiž tím, že formálně nenapadá nařízení vlády, ale postup, kterým k vydání tohoto nařízení vláda dospěla.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Lze jen dodat, že akty zákonem výslovně prohlášené za právní předpisy nemohou správní soudy rušit. Tuto pravomoc si nemohou přisvojit ani extenzivní aplikací materiálního pojetí opatření obecné povahy.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Pokud obecný právní předpis nahrazuje individuální správní akt (…), může to dle okolností věci založit též protiústavnost takovéhoto obecného právního předpisu.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V nynější věci vláda konala podle § 4 odst. 1 zákona o státní památkové péči.</w:t>
      </w:r>
    </w:p>
    <w:p w:rsidR="006C5028" w:rsidRPr="006C5028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Nejvyšší správní soud</w:t>
      </w:r>
      <w:r w:rsidRPr="006C5028">
        <w:rPr>
          <w:rFonts w:ascii="Times New Roman" w:hAnsi="Times New Roman"/>
          <w:sz w:val="24"/>
          <w:szCs w:val="24"/>
        </w:rPr>
        <w:t xml:space="preserve"> má však za to, že konstrukce § 4 odst. 1 zákona o státní památkové péči nenasvědčuje tomu, že by k zásahu do subjektivních práv stěžovatelky mohlo dojít prohlášením věci za národní kulturní památku. Prohlásit věc za národní kulturní památku lze totiž dle dikce zákona jen tehdy, byla-li již předtím taková věc prohlášena za kulturní památku.</w:t>
      </w:r>
    </w:p>
    <w:p w:rsidR="00A232E0" w:rsidRPr="00A232E0" w:rsidRDefault="006C5028" w:rsidP="006C50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5028">
        <w:rPr>
          <w:rFonts w:ascii="Times New Roman" w:hAnsi="Times New Roman"/>
          <w:sz w:val="24"/>
          <w:szCs w:val="24"/>
        </w:rPr>
        <w:t>Rozhodnutím, kterým je věc prohlášena za kulturní památku, se postavení vlastníka věci dramaticky mění. Naopak prohlášením věci za národní kulturní památku se postavení vlastníka zásadně nemění.</w:t>
      </w:r>
    </w:p>
    <w:p w:rsidR="00FD7AAF" w:rsidRPr="00A77526" w:rsidRDefault="009A6A9C" w:rsidP="00FD7AAF">
      <w:pPr>
        <w:pStyle w:val="StylNadpis4Ped6bZa6b"/>
      </w:pPr>
      <w:bookmarkStart w:id="7" w:name="_Toc527357279"/>
      <w:bookmarkStart w:id="8" w:name="_Toc22043637"/>
      <w:r w:rsidRPr="00A77526">
        <w:t xml:space="preserve">K ukládání nápravného opatření dle § 10 odst. 1 zákona o státní památkové péči a </w:t>
      </w:r>
      <w:bookmarkStart w:id="9" w:name="_GoBack"/>
      <w:r w:rsidR="00B30885">
        <w:t xml:space="preserve">pojem </w:t>
      </w:r>
      <w:bookmarkEnd w:id="9"/>
      <w:r w:rsidRPr="00A77526">
        <w:t>dobrý stav kulturní památky</w:t>
      </w:r>
      <w:bookmarkEnd w:id="7"/>
      <w:bookmarkEnd w:id="8"/>
    </w:p>
    <w:p w:rsidR="00FD7AAF" w:rsidRPr="009A6A9C" w:rsidRDefault="00FD7AAF" w:rsidP="00FD7A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b/>
          <w:sz w:val="24"/>
          <w:szCs w:val="24"/>
        </w:rPr>
        <w:t xml:space="preserve">Rozsudek Nejvyššího správního soudu </w:t>
      </w:r>
      <w:proofErr w:type="gramStart"/>
      <w:r w:rsidR="002405F5">
        <w:rPr>
          <w:rFonts w:ascii="Times New Roman" w:hAnsi="Times New Roman"/>
          <w:b/>
          <w:sz w:val="24"/>
          <w:szCs w:val="24"/>
        </w:rPr>
        <w:t>č</w:t>
      </w:r>
      <w:r w:rsidRPr="009A6A9C">
        <w:rPr>
          <w:rFonts w:ascii="Times New Roman" w:hAnsi="Times New Roman"/>
          <w:b/>
          <w:sz w:val="24"/>
          <w:szCs w:val="24"/>
        </w:rPr>
        <w:t>.</w:t>
      </w:r>
      <w:r w:rsidR="002405F5">
        <w:rPr>
          <w:rFonts w:ascii="Times New Roman" w:hAnsi="Times New Roman"/>
          <w:b/>
          <w:sz w:val="24"/>
          <w:szCs w:val="24"/>
        </w:rPr>
        <w:t>j</w:t>
      </w:r>
      <w:r w:rsidRPr="009A6A9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A6A9C">
        <w:rPr>
          <w:rFonts w:ascii="Times New Roman" w:hAnsi="Times New Roman"/>
          <w:b/>
          <w:sz w:val="24"/>
          <w:szCs w:val="24"/>
        </w:rPr>
        <w:t xml:space="preserve"> </w:t>
      </w:r>
      <w:r w:rsidR="009A6A9C" w:rsidRPr="009A6A9C">
        <w:rPr>
          <w:rFonts w:ascii="Times New Roman" w:hAnsi="Times New Roman"/>
          <w:b/>
          <w:sz w:val="24"/>
          <w:szCs w:val="24"/>
        </w:rPr>
        <w:t>5 As 9/2018 - 38</w:t>
      </w:r>
      <w:r w:rsidR="0090447A" w:rsidRPr="009A6A9C">
        <w:rPr>
          <w:rFonts w:ascii="Times New Roman" w:hAnsi="Times New Roman"/>
          <w:b/>
          <w:sz w:val="24"/>
          <w:szCs w:val="24"/>
        </w:rPr>
        <w:t xml:space="preserve"> </w:t>
      </w:r>
      <w:r w:rsidRPr="009A6A9C">
        <w:rPr>
          <w:rFonts w:ascii="Times New Roman" w:hAnsi="Times New Roman"/>
          <w:b/>
          <w:sz w:val="24"/>
          <w:szCs w:val="24"/>
        </w:rPr>
        <w:t xml:space="preserve">ze dne </w:t>
      </w:r>
      <w:r w:rsidR="009A6A9C" w:rsidRPr="009A6A9C">
        <w:rPr>
          <w:rFonts w:ascii="Times New Roman" w:hAnsi="Times New Roman"/>
          <w:b/>
          <w:sz w:val="24"/>
          <w:szCs w:val="24"/>
        </w:rPr>
        <w:t>27</w:t>
      </w:r>
      <w:r w:rsidR="0090447A" w:rsidRPr="009A6A9C">
        <w:rPr>
          <w:rFonts w:ascii="Times New Roman" w:hAnsi="Times New Roman"/>
          <w:b/>
          <w:sz w:val="24"/>
          <w:szCs w:val="24"/>
        </w:rPr>
        <w:t xml:space="preserve">. </w:t>
      </w:r>
      <w:r w:rsidR="009A6A9C" w:rsidRPr="009A6A9C">
        <w:rPr>
          <w:rFonts w:ascii="Times New Roman" w:hAnsi="Times New Roman"/>
          <w:b/>
          <w:sz w:val="24"/>
          <w:szCs w:val="24"/>
        </w:rPr>
        <w:t>6</w:t>
      </w:r>
      <w:r w:rsidR="0090447A" w:rsidRPr="009A6A9C">
        <w:rPr>
          <w:rFonts w:ascii="Times New Roman" w:hAnsi="Times New Roman"/>
          <w:b/>
          <w:sz w:val="24"/>
          <w:szCs w:val="24"/>
        </w:rPr>
        <w:t>. 201</w:t>
      </w:r>
      <w:r w:rsidR="009A6A9C" w:rsidRPr="009A6A9C">
        <w:rPr>
          <w:rFonts w:ascii="Times New Roman" w:hAnsi="Times New Roman"/>
          <w:b/>
          <w:sz w:val="24"/>
          <w:szCs w:val="24"/>
        </w:rPr>
        <w:t>9</w:t>
      </w:r>
      <w:r w:rsidR="0090447A" w:rsidRPr="009A6A9C">
        <w:rPr>
          <w:rFonts w:ascii="Times New Roman" w:hAnsi="Times New Roman"/>
          <w:b/>
          <w:sz w:val="24"/>
          <w:szCs w:val="24"/>
        </w:rPr>
        <w:t xml:space="preserve"> </w:t>
      </w:r>
      <w:r w:rsidRPr="009A6A9C">
        <w:rPr>
          <w:rFonts w:ascii="Times New Roman" w:hAnsi="Times New Roman"/>
          <w:b/>
          <w:sz w:val="24"/>
          <w:szCs w:val="24"/>
        </w:rPr>
        <w:t>(</w:t>
      </w:r>
      <w:r w:rsidR="003D3B26" w:rsidRPr="009A6A9C">
        <w:rPr>
          <w:rFonts w:ascii="Times New Roman" w:hAnsi="Times New Roman"/>
          <w:b/>
          <w:sz w:val="24"/>
          <w:szCs w:val="24"/>
        </w:rPr>
        <w:t>B2</w:t>
      </w:r>
      <w:r w:rsidR="009A6A9C" w:rsidRPr="009A6A9C">
        <w:rPr>
          <w:rFonts w:ascii="Times New Roman" w:hAnsi="Times New Roman"/>
          <w:b/>
          <w:sz w:val="24"/>
          <w:szCs w:val="24"/>
        </w:rPr>
        <w:t>19</w:t>
      </w:r>
      <w:r w:rsidRPr="009A6A9C">
        <w:rPr>
          <w:rFonts w:ascii="Times New Roman" w:hAnsi="Times New Roman"/>
          <w:b/>
          <w:sz w:val="24"/>
          <w:szCs w:val="24"/>
        </w:rPr>
        <w:t>)</w:t>
      </w:r>
    </w:p>
    <w:p w:rsidR="00FD7AAF" w:rsidRPr="00A77526" w:rsidRDefault="00FD7AAF" w:rsidP="00FD7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6A9C">
        <w:rPr>
          <w:rFonts w:ascii="Times New Roman" w:hAnsi="Times New Roman"/>
          <w:b/>
          <w:sz w:val="24"/>
          <w:szCs w:val="24"/>
        </w:rPr>
        <w:t>vybrané části judikátu: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>… stěžovatelé de facto uplatňují námitky, které vznesli již v odvolání a v žalobě. S těmito se vypořádal jak žalovaný, tak městský soud. Kasační stížnost stěžovatelů je tedy na samé hranici své přípustnosti.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>Skutečnost, že stěžovatelé se závěry městského soudu nesouhlasí, nezakládá nepřezkoumatelnost jeho rozsudku.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>Realizovaná prosklená střecha na střešní terase hotelu „U Prince“ výrazně znehodnocuje střešní reliéf historického jádra města. Celková robustnost zastřešení, materiál a vlastní způsob provedení (bez jakéhokoli projednávání) představuje zásadně nepřijatelný postup v centrální části Pražské památkové rezervace, navíc u objektu, který je nemovitou kulturní památkou.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 xml:space="preserve">Ze stanoviska NPÚ při svém rozhodování správní orgány vycházely a městský soud jejich závěry správně aproboval, neboť stěžovatelé nepředložili žádné důkazy, jimiž by závěry NPÚ </w:t>
      </w:r>
      <w:proofErr w:type="gramStart"/>
      <w:r w:rsidRPr="009A6A9C">
        <w:rPr>
          <w:rFonts w:ascii="Times New Roman" w:hAnsi="Times New Roman"/>
          <w:sz w:val="24"/>
          <w:szCs w:val="24"/>
        </w:rPr>
        <w:t>vyvrátily. ... Stanovisko</w:t>
      </w:r>
      <w:proofErr w:type="gramEnd"/>
      <w:r w:rsidRPr="009A6A9C">
        <w:rPr>
          <w:rFonts w:ascii="Times New Roman" w:hAnsi="Times New Roman"/>
          <w:sz w:val="24"/>
          <w:szCs w:val="24"/>
        </w:rPr>
        <w:t xml:space="preserve"> NPÚ odpovídá připojené fotodokumentaci, je celistvé, úplné, logické a zcela přesvědčivé. Za tohoto stavu bylo rovněž nadbytečné, aby městský soud prováděl výslechy stěžovateli navržených svědků. 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lastRenderedPageBreak/>
        <w:t xml:space="preserve">Komise státní památkové péče zřízené podle § 31 odst. 1 zákona o státní památkové péči … nemají rozhodovací pravomoc a mají povahu pouze poradního </w:t>
      </w:r>
      <w:proofErr w:type="gramStart"/>
      <w:r w:rsidRPr="009A6A9C">
        <w:rPr>
          <w:rFonts w:ascii="Times New Roman" w:hAnsi="Times New Roman"/>
          <w:sz w:val="24"/>
          <w:szCs w:val="24"/>
        </w:rPr>
        <w:t>orgánu. ... Odbornou</w:t>
      </w:r>
      <w:proofErr w:type="gramEnd"/>
      <w:r w:rsidRPr="009A6A9C">
        <w:rPr>
          <w:rFonts w:ascii="Times New Roman" w:hAnsi="Times New Roman"/>
          <w:sz w:val="24"/>
          <w:szCs w:val="24"/>
        </w:rPr>
        <w:t xml:space="preserve"> organizací státní památkové péče ve smyslu zákona o státní památkové péči je NPÚ, nikoli uvedené komise.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 xml:space="preserve">Z tohoto stanoviska a výkresové dokumentace je zřejmé, že bylo posuzováno pouze zřízení </w:t>
      </w:r>
      <w:proofErr w:type="spellStart"/>
      <w:r w:rsidRPr="009A6A9C">
        <w:rPr>
          <w:rFonts w:ascii="Times New Roman" w:hAnsi="Times New Roman"/>
          <w:sz w:val="24"/>
          <w:szCs w:val="24"/>
        </w:rPr>
        <w:t>pochozí</w:t>
      </w:r>
      <w:proofErr w:type="spellEnd"/>
      <w:r w:rsidRPr="009A6A9C">
        <w:rPr>
          <w:rFonts w:ascii="Times New Roman" w:hAnsi="Times New Roman"/>
          <w:sz w:val="24"/>
          <w:szCs w:val="24"/>
        </w:rPr>
        <w:t xml:space="preserve"> terasy a úprava hřebenů střechy, nikoli však zastřešení teras „skleněnou střechou s masivní ocelovou konstrukcí novodobými zastiňovacími roletami“. Tyto stavební úpravy jsou tedy nejen v rozporu se závazným stanoviskem ze dne 2. 10. 1998, ale jsou také nepovolenými stavebními úpravami, které přesahují rámec rozhodnutí o dodatečném povolení stavby a souhlas s užíváním stavby ze dne 8. 8. 2001.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>Z výše uvedeného je zjevné, že stěžovateli odkazované dodatečné stavební povolení se na zastřešení teras nevztahovalo a námitky stěžovatelů v tomto směru vznášené nemohou být důvodné.</w:t>
      </w:r>
    </w:p>
    <w:p w:rsidR="009A6A9C" w:rsidRPr="009A6A9C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>Přisvědčit nelze ani námitce stěžovatelů týkající se „přílišného formalismu“. Zastřešené terasy byly nepochybně užívány po dobu několika let, ale běh doby nemůže mít na protiprávnost tohoto zastřešení vliv.</w:t>
      </w:r>
    </w:p>
    <w:p w:rsidR="00F941F9" w:rsidRPr="00FD7AAF" w:rsidRDefault="009A6A9C" w:rsidP="009A6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A9C">
        <w:rPr>
          <w:rFonts w:ascii="Times New Roman" w:hAnsi="Times New Roman"/>
          <w:sz w:val="24"/>
          <w:szCs w:val="24"/>
        </w:rPr>
        <w:t>… nelze souhlasit ani s námitkou, že městský soud a správní orgány svými rozhodnutími ohrožují výkon práv stěžovatelů a podnikatelskou činnost stěžovatele a). Rozhodnutí správních orgánů a městského soudu je totiž pouze důsledkem protiprávního jednání stěžovatelů.</w:t>
      </w:r>
    </w:p>
    <w:sectPr w:rsidR="00F941F9" w:rsidRPr="00FD7AAF" w:rsidSect="00AE0D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6A" w:rsidRDefault="00670C6A" w:rsidP="005F2B72">
      <w:pPr>
        <w:spacing w:after="0" w:line="240" w:lineRule="auto"/>
      </w:pPr>
      <w:r>
        <w:separator/>
      </w:r>
    </w:p>
  </w:endnote>
  <w:endnote w:type="continuationSeparator" w:id="0">
    <w:p w:rsidR="00670C6A" w:rsidRDefault="00670C6A" w:rsidP="005F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74" w:rsidRDefault="007E1074" w:rsidP="00ED436C">
    <w:pPr>
      <w:pStyle w:val="Zpat"/>
      <w:jc w:val="center"/>
    </w:pPr>
    <w:r w:rsidRPr="00ED436C">
      <w:rPr>
        <w:rFonts w:ascii="Times New Roman" w:hAnsi="Times New Roman"/>
        <w:sz w:val="24"/>
        <w:szCs w:val="24"/>
      </w:rPr>
      <w:fldChar w:fldCharType="begin"/>
    </w:r>
    <w:r w:rsidRPr="00ED436C">
      <w:rPr>
        <w:rFonts w:ascii="Times New Roman" w:hAnsi="Times New Roman"/>
        <w:sz w:val="24"/>
        <w:szCs w:val="24"/>
      </w:rPr>
      <w:instrText>PAGE   \* MERGEFORMAT</w:instrText>
    </w:r>
    <w:r w:rsidRPr="00ED436C">
      <w:rPr>
        <w:rFonts w:ascii="Times New Roman" w:hAnsi="Times New Roman"/>
        <w:sz w:val="24"/>
        <w:szCs w:val="24"/>
      </w:rPr>
      <w:fldChar w:fldCharType="separate"/>
    </w:r>
    <w:r w:rsidR="00550C22">
      <w:rPr>
        <w:rFonts w:ascii="Times New Roman" w:hAnsi="Times New Roman"/>
        <w:noProof/>
        <w:sz w:val="24"/>
        <w:szCs w:val="24"/>
      </w:rPr>
      <w:t>7</w:t>
    </w:r>
    <w:r w:rsidRPr="00ED436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6A" w:rsidRDefault="00670C6A" w:rsidP="005F2B72">
      <w:pPr>
        <w:spacing w:after="0" w:line="240" w:lineRule="auto"/>
      </w:pPr>
      <w:r>
        <w:separator/>
      </w:r>
    </w:p>
  </w:footnote>
  <w:footnote w:type="continuationSeparator" w:id="0">
    <w:p w:rsidR="00670C6A" w:rsidRDefault="00670C6A" w:rsidP="005F2B72">
      <w:pPr>
        <w:spacing w:after="0" w:line="240" w:lineRule="auto"/>
      </w:pPr>
      <w:r>
        <w:continuationSeparator/>
      </w:r>
    </w:p>
  </w:footnote>
  <w:footnote w:id="1">
    <w:p w:rsidR="00F841E6" w:rsidRPr="00F841E6" w:rsidRDefault="00F841E6" w:rsidP="00F84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41E6">
        <w:rPr>
          <w:rStyle w:val="Znakapoznpodarou"/>
          <w:rFonts w:ascii="Times New Roman" w:hAnsi="Times New Roman"/>
          <w:sz w:val="20"/>
          <w:szCs w:val="20"/>
        </w:rPr>
        <w:footnoteRef/>
      </w:r>
      <w:r w:rsidRPr="00F841E6">
        <w:rPr>
          <w:rFonts w:ascii="Times New Roman" w:hAnsi="Times New Roman"/>
          <w:sz w:val="20"/>
          <w:szCs w:val="20"/>
        </w:rPr>
        <w:t xml:space="preserve"> Kasační stížnost proti tomuto rozsudku zamítl Nejvyšší správní soud ve svém rozsudku </w:t>
      </w:r>
      <w:proofErr w:type="gramStart"/>
      <w:r w:rsidRPr="00F841E6">
        <w:rPr>
          <w:rFonts w:ascii="Times New Roman" w:hAnsi="Times New Roman"/>
          <w:sz w:val="20"/>
          <w:szCs w:val="20"/>
        </w:rPr>
        <w:t>č.j.</w:t>
      </w:r>
      <w:proofErr w:type="gramEnd"/>
      <w:r w:rsidRPr="00F841E6">
        <w:rPr>
          <w:rFonts w:ascii="Times New Roman" w:hAnsi="Times New Roman"/>
          <w:sz w:val="20"/>
          <w:szCs w:val="20"/>
        </w:rPr>
        <w:t xml:space="preserve"> 7 As 167/2019 – 24 ze dne 13. 8. 2019 a v odůvodnění tohoto rozsudku mimo jiné uvedl: </w:t>
      </w:r>
      <w:r w:rsidRPr="00CC161C">
        <w:rPr>
          <w:rFonts w:ascii="Times New Roman" w:hAnsi="Times New Roman"/>
          <w:i/>
          <w:sz w:val="20"/>
          <w:szCs w:val="20"/>
        </w:rPr>
        <w:t>„</w:t>
      </w:r>
      <w:r w:rsidRPr="00CC161C">
        <w:rPr>
          <w:rFonts w:ascii="Times New Roman" w:hAnsi="Times New Roman"/>
          <w:i/>
          <w:sz w:val="20"/>
          <w:szCs w:val="20"/>
          <w:lang w:eastAsia="cs-CZ"/>
        </w:rPr>
        <w:t>Městský soud shledal důkazy shromážděné ve správním spise za dostačující pro posouzení věci (obě odborná stanoviska jsou zcela jednoznačná a pro posouzení dané věci jsou adekvátním podkladem), s čímž se ztotožňuje s ohledem na výše uvedené i Nejvyšší správní soud. Z obou stanovisek jednoznačně vyplývá, z jakých důvodů nelze považovat provedené stavební úpravy za souladné se zájmy památkové péče. Podrobněji viz stanoviska dotčených orgánů, které jsou nadány příslušnou odborností.“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74" w:rsidRPr="007E1074" w:rsidRDefault="007E1074" w:rsidP="007E1074">
    <w:pPr>
      <w:pStyle w:val="Zhlav"/>
      <w:spacing w:after="0"/>
      <w:jc w:val="center"/>
      <w:rPr>
        <w:rFonts w:ascii="Times New Roman" w:hAnsi="Times New Roman"/>
        <w:b/>
        <w:sz w:val="20"/>
        <w:szCs w:val="20"/>
      </w:rPr>
    </w:pPr>
    <w:r w:rsidRPr="007E1074">
      <w:rPr>
        <w:rFonts w:ascii="Times New Roman" w:hAnsi="Times New Roman"/>
        <w:b/>
        <w:sz w:val="20"/>
        <w:szCs w:val="20"/>
      </w:rPr>
      <w:t>Judikatura a památková péče</w:t>
    </w:r>
  </w:p>
  <w:p w:rsidR="007E1074" w:rsidRDefault="007E1074" w:rsidP="007E1074">
    <w:pPr>
      <w:pStyle w:val="Zhlav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</w:t>
    </w:r>
    <w:r w:rsidRPr="00E91DE8">
      <w:rPr>
        <w:rFonts w:ascii="Times New Roman" w:hAnsi="Times New Roman"/>
        <w:sz w:val="20"/>
        <w:szCs w:val="20"/>
      </w:rPr>
      <w:t xml:space="preserve">orada Ministerstva kultury s pracovníky krajských úřadů a MHMP </w:t>
    </w:r>
    <w:r w:rsidR="00550C22">
      <w:rPr>
        <w:rFonts w:ascii="Times New Roman" w:hAnsi="Times New Roman"/>
        <w:sz w:val="20"/>
        <w:szCs w:val="20"/>
      </w:rPr>
      <w:t>konaná dne</w:t>
    </w:r>
    <w:r w:rsidRPr="00E91DE8">
      <w:rPr>
        <w:rFonts w:ascii="Times New Roman" w:hAnsi="Times New Roman"/>
        <w:sz w:val="20"/>
        <w:szCs w:val="20"/>
      </w:rPr>
      <w:t xml:space="preserve"> </w:t>
    </w:r>
    <w:r w:rsidR="0040095D">
      <w:rPr>
        <w:rFonts w:ascii="Times New Roman" w:hAnsi="Times New Roman"/>
        <w:sz w:val="20"/>
        <w:szCs w:val="20"/>
      </w:rPr>
      <w:t>2</w:t>
    </w:r>
    <w:r w:rsidR="009A6A9C">
      <w:rPr>
        <w:rFonts w:ascii="Times New Roman" w:hAnsi="Times New Roman"/>
        <w:sz w:val="20"/>
        <w:szCs w:val="20"/>
      </w:rPr>
      <w:t>4</w:t>
    </w:r>
    <w:r w:rsidRPr="00E91DE8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října</w:t>
    </w:r>
    <w:r w:rsidRPr="00E91DE8">
      <w:rPr>
        <w:rFonts w:ascii="Times New Roman" w:hAnsi="Times New Roman"/>
        <w:sz w:val="20"/>
        <w:szCs w:val="20"/>
      </w:rPr>
      <w:t xml:space="preserve"> 201</w:t>
    </w:r>
    <w:r w:rsidR="009A6A9C">
      <w:rPr>
        <w:rFonts w:ascii="Times New Roman" w:hAnsi="Times New Roman"/>
        <w:sz w:val="20"/>
        <w:szCs w:val="20"/>
      </w:rPr>
      <w:t>9</w:t>
    </w:r>
  </w:p>
  <w:p w:rsidR="00841CA2" w:rsidRPr="00ED436C" w:rsidRDefault="00841CA2" w:rsidP="007E1074">
    <w:pPr>
      <w:pStyle w:val="Zhlav"/>
      <w:spacing w:after="0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AC2"/>
    <w:multiLevelType w:val="hybridMultilevel"/>
    <w:tmpl w:val="1FCC3F86"/>
    <w:lvl w:ilvl="0" w:tplc="41A4BF02">
      <w:start w:val="1"/>
      <w:numFmt w:val="decimal"/>
      <w:pStyle w:val="StylNadpis4Ped6bZa6b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82631"/>
    <w:multiLevelType w:val="hybridMultilevel"/>
    <w:tmpl w:val="BD0058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2A7E41"/>
    <w:multiLevelType w:val="hybridMultilevel"/>
    <w:tmpl w:val="2AEC1038"/>
    <w:lvl w:ilvl="0" w:tplc="EC946EAA">
      <w:start w:val="1"/>
      <w:numFmt w:val="decimal"/>
      <w:pStyle w:val="Nadpis4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419"/>
    <w:multiLevelType w:val="hybridMultilevel"/>
    <w:tmpl w:val="F698C472"/>
    <w:lvl w:ilvl="0" w:tplc="C01A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F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6D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C7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C9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46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04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22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20550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EB"/>
    <w:rsid w:val="000511D8"/>
    <w:rsid w:val="0007506E"/>
    <w:rsid w:val="00114DB4"/>
    <w:rsid w:val="001325C4"/>
    <w:rsid w:val="00151136"/>
    <w:rsid w:val="00160AD4"/>
    <w:rsid w:val="001B642F"/>
    <w:rsid w:val="001D5B35"/>
    <w:rsid w:val="002131D5"/>
    <w:rsid w:val="002405F5"/>
    <w:rsid w:val="002456CB"/>
    <w:rsid w:val="00284FA2"/>
    <w:rsid w:val="002E15B9"/>
    <w:rsid w:val="002F7F35"/>
    <w:rsid w:val="003644E5"/>
    <w:rsid w:val="00397B97"/>
    <w:rsid w:val="003A4F97"/>
    <w:rsid w:val="003A5E99"/>
    <w:rsid w:val="003D3B26"/>
    <w:rsid w:val="003D520D"/>
    <w:rsid w:val="0040095D"/>
    <w:rsid w:val="00414157"/>
    <w:rsid w:val="004726E7"/>
    <w:rsid w:val="004A3862"/>
    <w:rsid w:val="004C0E64"/>
    <w:rsid w:val="004D27CC"/>
    <w:rsid w:val="004E6EE1"/>
    <w:rsid w:val="00503CA5"/>
    <w:rsid w:val="00550C22"/>
    <w:rsid w:val="0057357D"/>
    <w:rsid w:val="00582A12"/>
    <w:rsid w:val="005D646F"/>
    <w:rsid w:val="005E6559"/>
    <w:rsid w:val="005F2B72"/>
    <w:rsid w:val="005F479E"/>
    <w:rsid w:val="005F4CFD"/>
    <w:rsid w:val="00670C6A"/>
    <w:rsid w:val="006900FA"/>
    <w:rsid w:val="006C5028"/>
    <w:rsid w:val="006D02D0"/>
    <w:rsid w:val="006D48B5"/>
    <w:rsid w:val="006E65F8"/>
    <w:rsid w:val="006F3633"/>
    <w:rsid w:val="006F3AA6"/>
    <w:rsid w:val="00750153"/>
    <w:rsid w:val="00750F60"/>
    <w:rsid w:val="007534B3"/>
    <w:rsid w:val="00794F90"/>
    <w:rsid w:val="007C1DFB"/>
    <w:rsid w:val="007D0DD9"/>
    <w:rsid w:val="007E1074"/>
    <w:rsid w:val="008357DA"/>
    <w:rsid w:val="00841CA2"/>
    <w:rsid w:val="008E78D6"/>
    <w:rsid w:val="0090447A"/>
    <w:rsid w:val="00933731"/>
    <w:rsid w:val="00962FF7"/>
    <w:rsid w:val="009A38E6"/>
    <w:rsid w:val="009A6A9C"/>
    <w:rsid w:val="009B4C3A"/>
    <w:rsid w:val="009D4AFA"/>
    <w:rsid w:val="009F7D38"/>
    <w:rsid w:val="00A232E0"/>
    <w:rsid w:val="00A55398"/>
    <w:rsid w:val="00A73089"/>
    <w:rsid w:val="00A740AE"/>
    <w:rsid w:val="00A771C0"/>
    <w:rsid w:val="00A77526"/>
    <w:rsid w:val="00A90D53"/>
    <w:rsid w:val="00AC30ED"/>
    <w:rsid w:val="00AE0D8F"/>
    <w:rsid w:val="00AF132F"/>
    <w:rsid w:val="00AF1EE0"/>
    <w:rsid w:val="00B101F9"/>
    <w:rsid w:val="00B30885"/>
    <w:rsid w:val="00B50674"/>
    <w:rsid w:val="00B515ED"/>
    <w:rsid w:val="00B51B7A"/>
    <w:rsid w:val="00BD57D0"/>
    <w:rsid w:val="00C34434"/>
    <w:rsid w:val="00C46C56"/>
    <w:rsid w:val="00C72EC3"/>
    <w:rsid w:val="00C731BC"/>
    <w:rsid w:val="00CA0005"/>
    <w:rsid w:val="00CC161C"/>
    <w:rsid w:val="00CD7F0F"/>
    <w:rsid w:val="00CE19DA"/>
    <w:rsid w:val="00CE79CF"/>
    <w:rsid w:val="00D01737"/>
    <w:rsid w:val="00D47026"/>
    <w:rsid w:val="00D60113"/>
    <w:rsid w:val="00D86B92"/>
    <w:rsid w:val="00D97CD8"/>
    <w:rsid w:val="00DA0ABC"/>
    <w:rsid w:val="00DB37EB"/>
    <w:rsid w:val="00DD11AE"/>
    <w:rsid w:val="00DD4006"/>
    <w:rsid w:val="00DF3CC6"/>
    <w:rsid w:val="00E02331"/>
    <w:rsid w:val="00E0633A"/>
    <w:rsid w:val="00E13B27"/>
    <w:rsid w:val="00E32C28"/>
    <w:rsid w:val="00E51519"/>
    <w:rsid w:val="00E61C06"/>
    <w:rsid w:val="00E810AE"/>
    <w:rsid w:val="00EA1566"/>
    <w:rsid w:val="00EA29F8"/>
    <w:rsid w:val="00EA31D3"/>
    <w:rsid w:val="00EA3505"/>
    <w:rsid w:val="00EC2D7B"/>
    <w:rsid w:val="00EC6B15"/>
    <w:rsid w:val="00ED436C"/>
    <w:rsid w:val="00F30D28"/>
    <w:rsid w:val="00F677AC"/>
    <w:rsid w:val="00F841E6"/>
    <w:rsid w:val="00F941F9"/>
    <w:rsid w:val="00FA7692"/>
    <w:rsid w:val="00FB2B82"/>
    <w:rsid w:val="00FC226B"/>
    <w:rsid w:val="00FD7AAF"/>
    <w:rsid w:val="00FE39B1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7E1074"/>
    <w:pPr>
      <w:keepNext/>
      <w:numPr>
        <w:numId w:val="2"/>
      </w:numPr>
      <w:spacing w:before="480" w:after="24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2B7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F2B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5F2B7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F2B72"/>
    <w:rPr>
      <w:vertAlign w:val="superscript"/>
    </w:rPr>
  </w:style>
  <w:style w:type="character" w:styleId="Sledovanodkaz">
    <w:name w:val="FollowedHyperlink"/>
    <w:uiPriority w:val="99"/>
    <w:semiHidden/>
    <w:unhideWhenUsed/>
    <w:rsid w:val="005F2B72"/>
    <w:rPr>
      <w:color w:val="800080"/>
      <w:u w:val="single"/>
    </w:rPr>
  </w:style>
  <w:style w:type="paragraph" w:styleId="Zhlav">
    <w:name w:val="header"/>
    <w:basedOn w:val="Normln"/>
    <w:link w:val="ZhlavChar"/>
    <w:unhideWhenUsed/>
    <w:rsid w:val="007E1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107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E10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1074"/>
    <w:rPr>
      <w:sz w:val="22"/>
      <w:szCs w:val="22"/>
      <w:lang w:eastAsia="en-US"/>
    </w:rPr>
  </w:style>
  <w:style w:type="character" w:customStyle="1" w:styleId="Nadpis4Char">
    <w:name w:val="Nadpis 4 Char"/>
    <w:link w:val="Nadpis4"/>
    <w:rsid w:val="007E1074"/>
    <w:rPr>
      <w:rFonts w:ascii="Times New Roman" w:eastAsia="Times New Roman" w:hAnsi="Times New Roman"/>
      <w:b/>
      <w:bCs/>
      <w:sz w:val="24"/>
      <w:szCs w:val="28"/>
      <w:u w:val="single"/>
    </w:rPr>
  </w:style>
  <w:style w:type="paragraph" w:styleId="Obsah4">
    <w:name w:val="toc 4"/>
    <w:basedOn w:val="Normln"/>
    <w:next w:val="Normln"/>
    <w:autoRedefine/>
    <w:uiPriority w:val="39"/>
    <w:rsid w:val="007E1074"/>
    <w:pPr>
      <w:tabs>
        <w:tab w:val="right" w:leader="dot" w:pos="9360"/>
      </w:tabs>
      <w:spacing w:after="0" w:line="240" w:lineRule="auto"/>
      <w:ind w:left="720" w:right="-145" w:hanging="72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customStyle="1" w:styleId="StylNadpis4Ped6bZa6b">
    <w:name w:val="Styl Nadpis 4 + Před:  6 b. Za:  6 b."/>
    <w:basedOn w:val="Nadpis4"/>
    <w:autoRedefine/>
    <w:rsid w:val="00EC2D7B"/>
    <w:pPr>
      <w:numPr>
        <w:numId w:val="1"/>
      </w:numPr>
      <w:spacing w:before="360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0A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0A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0AE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F94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7E1074"/>
    <w:pPr>
      <w:keepNext/>
      <w:numPr>
        <w:numId w:val="2"/>
      </w:numPr>
      <w:spacing w:before="480" w:after="24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2B7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F2B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5F2B7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F2B72"/>
    <w:rPr>
      <w:vertAlign w:val="superscript"/>
    </w:rPr>
  </w:style>
  <w:style w:type="character" w:styleId="Sledovanodkaz">
    <w:name w:val="FollowedHyperlink"/>
    <w:uiPriority w:val="99"/>
    <w:semiHidden/>
    <w:unhideWhenUsed/>
    <w:rsid w:val="005F2B72"/>
    <w:rPr>
      <w:color w:val="800080"/>
      <w:u w:val="single"/>
    </w:rPr>
  </w:style>
  <w:style w:type="paragraph" w:styleId="Zhlav">
    <w:name w:val="header"/>
    <w:basedOn w:val="Normln"/>
    <w:link w:val="ZhlavChar"/>
    <w:unhideWhenUsed/>
    <w:rsid w:val="007E1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107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E10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1074"/>
    <w:rPr>
      <w:sz w:val="22"/>
      <w:szCs w:val="22"/>
      <w:lang w:eastAsia="en-US"/>
    </w:rPr>
  </w:style>
  <w:style w:type="character" w:customStyle="1" w:styleId="Nadpis4Char">
    <w:name w:val="Nadpis 4 Char"/>
    <w:link w:val="Nadpis4"/>
    <w:rsid w:val="007E1074"/>
    <w:rPr>
      <w:rFonts w:ascii="Times New Roman" w:eastAsia="Times New Roman" w:hAnsi="Times New Roman"/>
      <w:b/>
      <w:bCs/>
      <w:sz w:val="24"/>
      <w:szCs w:val="28"/>
      <w:u w:val="single"/>
    </w:rPr>
  </w:style>
  <w:style w:type="paragraph" w:styleId="Obsah4">
    <w:name w:val="toc 4"/>
    <w:basedOn w:val="Normln"/>
    <w:next w:val="Normln"/>
    <w:autoRedefine/>
    <w:uiPriority w:val="39"/>
    <w:rsid w:val="007E1074"/>
    <w:pPr>
      <w:tabs>
        <w:tab w:val="right" w:leader="dot" w:pos="9360"/>
      </w:tabs>
      <w:spacing w:after="0" w:line="240" w:lineRule="auto"/>
      <w:ind w:left="720" w:right="-145" w:hanging="72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customStyle="1" w:styleId="StylNadpis4Ped6bZa6b">
    <w:name w:val="Styl Nadpis 4 + Před:  6 b. Za:  6 b."/>
    <w:basedOn w:val="Nadpis4"/>
    <w:autoRedefine/>
    <w:rsid w:val="00EC2D7B"/>
    <w:pPr>
      <w:numPr>
        <w:numId w:val="1"/>
      </w:numPr>
      <w:spacing w:before="360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0A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0A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0AE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F94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7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5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9CD3-49FA-4A06-918A-969D8DFB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23348</CharactersWithSpaces>
  <SharedDoc>false</SharedDoc>
  <HLinks>
    <vt:vector size="30" baseType="variant"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_Toc401216603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_Toc401216602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_Toc401216601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_Toc401216600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_Toc401216599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Tupý Michal</cp:lastModifiedBy>
  <cp:revision>4</cp:revision>
  <cp:lastPrinted>2014-10-16T07:54:00Z</cp:lastPrinted>
  <dcterms:created xsi:type="dcterms:W3CDTF">2019-10-17T14:08:00Z</dcterms:created>
  <dcterms:modified xsi:type="dcterms:W3CDTF">2019-10-17T14:10:00Z</dcterms:modified>
</cp:coreProperties>
</file>