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9CA6" w14:textId="77777777" w:rsidR="00AE0D8F" w:rsidRPr="00A77526" w:rsidRDefault="00AE0D8F" w:rsidP="00AE0D8F">
      <w:pPr>
        <w:spacing w:after="0" w:line="240" w:lineRule="auto"/>
        <w:jc w:val="center"/>
        <w:rPr>
          <w:rFonts w:ascii="Times New Roman" w:eastAsia="Times New Roman" w:hAnsi="Times New Roman"/>
          <w:b/>
          <w:sz w:val="52"/>
          <w:szCs w:val="52"/>
          <w:lang w:eastAsia="cs-CZ"/>
        </w:rPr>
      </w:pPr>
      <w:r w:rsidRPr="00A77526">
        <w:rPr>
          <w:rFonts w:ascii="Times New Roman" w:eastAsia="Times New Roman" w:hAnsi="Times New Roman"/>
          <w:b/>
          <w:sz w:val="52"/>
          <w:szCs w:val="52"/>
          <w:lang w:eastAsia="cs-CZ"/>
        </w:rPr>
        <w:t>Judikatura a památková péče</w:t>
      </w:r>
    </w:p>
    <w:p w14:paraId="37D47B59" w14:textId="77777777" w:rsidR="007E1074" w:rsidRPr="0031533B" w:rsidRDefault="003A4F97" w:rsidP="001325C4">
      <w:pPr>
        <w:pStyle w:val="Obsah4"/>
        <w:spacing w:before="240"/>
        <w:ind w:right="-147"/>
        <w:rPr>
          <w:b w:val="0"/>
        </w:rPr>
      </w:pPr>
      <w:r w:rsidRPr="0031533B">
        <w:rPr>
          <w:b w:val="0"/>
        </w:rPr>
        <w:t>Obsah:</w:t>
      </w:r>
    </w:p>
    <w:p w14:paraId="145E23F6" w14:textId="05B9A179" w:rsidR="00F10AC6" w:rsidRDefault="003A4F97">
      <w:pPr>
        <w:pStyle w:val="Obsah4"/>
        <w:rPr>
          <w:rFonts w:asciiTheme="minorHAnsi" w:eastAsiaTheme="minorEastAsia" w:hAnsiTheme="minorHAnsi" w:cstheme="minorBidi"/>
          <w:b w:val="0"/>
          <w:noProof/>
          <w:sz w:val="22"/>
          <w:szCs w:val="22"/>
          <w:u w:val="none"/>
        </w:rPr>
      </w:pPr>
      <w:r w:rsidRPr="0031533B">
        <w:rPr>
          <w:b w:val="0"/>
          <w:u w:val="none"/>
        </w:rPr>
        <w:fldChar w:fldCharType="begin"/>
      </w:r>
      <w:r w:rsidRPr="0031533B">
        <w:rPr>
          <w:b w:val="0"/>
          <w:u w:val="none"/>
        </w:rPr>
        <w:instrText xml:space="preserve"> TOC \o "1-4" \h \z \u </w:instrText>
      </w:r>
      <w:r w:rsidRPr="0031533B">
        <w:rPr>
          <w:b w:val="0"/>
          <w:u w:val="none"/>
        </w:rPr>
        <w:fldChar w:fldCharType="separate"/>
      </w:r>
      <w:hyperlink w:anchor="_Toc212809701" w:history="1">
        <w:r w:rsidR="00F10AC6" w:rsidRPr="0071112F">
          <w:rPr>
            <w:rStyle w:val="Hypertextovodkaz"/>
            <w:noProof/>
          </w:rPr>
          <w:t>1.</w:t>
        </w:r>
        <w:r w:rsidR="00F10AC6">
          <w:rPr>
            <w:rFonts w:asciiTheme="minorHAnsi" w:eastAsiaTheme="minorEastAsia" w:hAnsiTheme="minorHAnsi" w:cstheme="minorBidi"/>
            <w:b w:val="0"/>
            <w:noProof/>
            <w:sz w:val="22"/>
            <w:szCs w:val="22"/>
            <w:u w:val="none"/>
          </w:rPr>
          <w:tab/>
        </w:r>
        <w:r w:rsidR="00F10AC6" w:rsidRPr="0071112F">
          <w:rPr>
            <w:rStyle w:val="Hypertextovodkaz"/>
            <w:noProof/>
          </w:rPr>
          <w:t>Veřejné prostranství a Pražský hrad</w:t>
        </w:r>
        <w:r w:rsidR="00F10AC6">
          <w:rPr>
            <w:noProof/>
            <w:webHidden/>
          </w:rPr>
          <w:tab/>
        </w:r>
        <w:r w:rsidR="00F10AC6">
          <w:rPr>
            <w:noProof/>
            <w:webHidden/>
          </w:rPr>
          <w:fldChar w:fldCharType="begin"/>
        </w:r>
        <w:r w:rsidR="00F10AC6">
          <w:rPr>
            <w:noProof/>
            <w:webHidden/>
          </w:rPr>
          <w:instrText xml:space="preserve"> PAGEREF _Toc212809701 \h </w:instrText>
        </w:r>
        <w:r w:rsidR="00F10AC6">
          <w:rPr>
            <w:noProof/>
            <w:webHidden/>
          </w:rPr>
        </w:r>
        <w:r w:rsidR="00F10AC6">
          <w:rPr>
            <w:noProof/>
            <w:webHidden/>
          </w:rPr>
          <w:fldChar w:fldCharType="separate"/>
        </w:r>
        <w:r w:rsidR="00F10AC6">
          <w:rPr>
            <w:noProof/>
            <w:webHidden/>
          </w:rPr>
          <w:t>1</w:t>
        </w:r>
        <w:r w:rsidR="00F10AC6">
          <w:rPr>
            <w:noProof/>
            <w:webHidden/>
          </w:rPr>
          <w:fldChar w:fldCharType="end"/>
        </w:r>
      </w:hyperlink>
    </w:p>
    <w:p w14:paraId="7A966284" w14:textId="48ADE29B" w:rsidR="00F10AC6" w:rsidRDefault="00F10AC6">
      <w:pPr>
        <w:pStyle w:val="Obsah4"/>
        <w:rPr>
          <w:rFonts w:asciiTheme="minorHAnsi" w:eastAsiaTheme="minorEastAsia" w:hAnsiTheme="minorHAnsi" w:cstheme="minorBidi"/>
          <w:b w:val="0"/>
          <w:noProof/>
          <w:sz w:val="22"/>
          <w:szCs w:val="22"/>
          <w:u w:val="none"/>
        </w:rPr>
      </w:pPr>
      <w:hyperlink w:anchor="_Toc212809702" w:history="1">
        <w:r w:rsidRPr="0071112F">
          <w:rPr>
            <w:rStyle w:val="Hypertextovodkaz"/>
            <w:noProof/>
          </w:rPr>
          <w:t>2.</w:t>
        </w:r>
        <w:r>
          <w:rPr>
            <w:rFonts w:asciiTheme="minorHAnsi" w:eastAsiaTheme="minorEastAsia" w:hAnsiTheme="minorHAnsi" w:cstheme="minorBidi"/>
            <w:b w:val="0"/>
            <w:noProof/>
            <w:sz w:val="22"/>
            <w:szCs w:val="22"/>
            <w:u w:val="none"/>
          </w:rPr>
          <w:tab/>
        </w:r>
        <w:r w:rsidRPr="0071112F">
          <w:rPr>
            <w:rStyle w:val="Hypertextovodkaz"/>
            <w:noProof/>
          </w:rPr>
          <w:t>Územní plán, památková zóna a podmínka vypracování regulačního plánu</w:t>
        </w:r>
        <w:r>
          <w:rPr>
            <w:noProof/>
            <w:webHidden/>
          </w:rPr>
          <w:tab/>
        </w:r>
        <w:r>
          <w:rPr>
            <w:noProof/>
            <w:webHidden/>
          </w:rPr>
          <w:fldChar w:fldCharType="begin"/>
        </w:r>
        <w:r>
          <w:rPr>
            <w:noProof/>
            <w:webHidden/>
          </w:rPr>
          <w:instrText xml:space="preserve"> PAGEREF _Toc212809702 \h </w:instrText>
        </w:r>
        <w:r>
          <w:rPr>
            <w:noProof/>
            <w:webHidden/>
          </w:rPr>
        </w:r>
        <w:r>
          <w:rPr>
            <w:noProof/>
            <w:webHidden/>
          </w:rPr>
          <w:fldChar w:fldCharType="separate"/>
        </w:r>
        <w:r>
          <w:rPr>
            <w:noProof/>
            <w:webHidden/>
          </w:rPr>
          <w:t>2</w:t>
        </w:r>
        <w:r>
          <w:rPr>
            <w:noProof/>
            <w:webHidden/>
          </w:rPr>
          <w:fldChar w:fldCharType="end"/>
        </w:r>
      </w:hyperlink>
    </w:p>
    <w:p w14:paraId="764E4D19" w14:textId="234BFD6D" w:rsidR="00F10AC6" w:rsidRDefault="00F10AC6">
      <w:pPr>
        <w:pStyle w:val="Obsah4"/>
        <w:rPr>
          <w:rFonts w:asciiTheme="minorHAnsi" w:eastAsiaTheme="minorEastAsia" w:hAnsiTheme="minorHAnsi" w:cstheme="minorBidi"/>
          <w:b w:val="0"/>
          <w:noProof/>
          <w:sz w:val="22"/>
          <w:szCs w:val="22"/>
          <w:u w:val="none"/>
        </w:rPr>
      </w:pPr>
      <w:hyperlink w:anchor="_Toc212809703" w:history="1">
        <w:r w:rsidRPr="0071112F">
          <w:rPr>
            <w:rStyle w:val="Hypertextovodkaz"/>
            <w:noProof/>
          </w:rPr>
          <w:t>3.</w:t>
        </w:r>
        <w:r>
          <w:rPr>
            <w:rFonts w:asciiTheme="minorHAnsi" w:eastAsiaTheme="minorEastAsia" w:hAnsiTheme="minorHAnsi" w:cstheme="minorBidi"/>
            <w:b w:val="0"/>
            <w:noProof/>
            <w:sz w:val="22"/>
            <w:szCs w:val="22"/>
            <w:u w:val="none"/>
          </w:rPr>
          <w:tab/>
        </w:r>
        <w:r w:rsidRPr="0071112F">
          <w:rPr>
            <w:rStyle w:val="Hypertextovodkaz"/>
            <w:noProof/>
          </w:rPr>
          <w:t>Obsah závazného stanoviska a vzájemná součinnost stavebního úřadu a dotčeného orgánu</w:t>
        </w:r>
        <w:r>
          <w:rPr>
            <w:noProof/>
            <w:webHidden/>
          </w:rPr>
          <w:tab/>
        </w:r>
        <w:r>
          <w:rPr>
            <w:noProof/>
            <w:webHidden/>
          </w:rPr>
          <w:fldChar w:fldCharType="begin"/>
        </w:r>
        <w:r>
          <w:rPr>
            <w:noProof/>
            <w:webHidden/>
          </w:rPr>
          <w:instrText xml:space="preserve"> PAGEREF _Toc212809703 \h </w:instrText>
        </w:r>
        <w:r>
          <w:rPr>
            <w:noProof/>
            <w:webHidden/>
          </w:rPr>
        </w:r>
        <w:r>
          <w:rPr>
            <w:noProof/>
            <w:webHidden/>
          </w:rPr>
          <w:fldChar w:fldCharType="separate"/>
        </w:r>
        <w:r>
          <w:rPr>
            <w:noProof/>
            <w:webHidden/>
          </w:rPr>
          <w:t>3</w:t>
        </w:r>
        <w:r>
          <w:rPr>
            <w:noProof/>
            <w:webHidden/>
          </w:rPr>
          <w:fldChar w:fldCharType="end"/>
        </w:r>
      </w:hyperlink>
    </w:p>
    <w:p w14:paraId="34F0AEB2" w14:textId="1920F3EC" w:rsidR="00F10AC6" w:rsidRDefault="00F10AC6">
      <w:pPr>
        <w:pStyle w:val="Obsah4"/>
        <w:rPr>
          <w:rFonts w:asciiTheme="minorHAnsi" w:eastAsiaTheme="minorEastAsia" w:hAnsiTheme="minorHAnsi" w:cstheme="minorBidi"/>
          <w:b w:val="0"/>
          <w:noProof/>
          <w:sz w:val="22"/>
          <w:szCs w:val="22"/>
          <w:u w:val="none"/>
        </w:rPr>
      </w:pPr>
      <w:hyperlink w:anchor="_Toc212809704" w:history="1">
        <w:r w:rsidRPr="0071112F">
          <w:rPr>
            <w:rStyle w:val="Hypertextovodkaz"/>
            <w:noProof/>
          </w:rPr>
          <w:t>4.</w:t>
        </w:r>
        <w:r>
          <w:rPr>
            <w:rFonts w:asciiTheme="minorHAnsi" w:eastAsiaTheme="minorEastAsia" w:hAnsiTheme="minorHAnsi" w:cstheme="minorBidi"/>
            <w:b w:val="0"/>
            <w:noProof/>
            <w:sz w:val="22"/>
            <w:szCs w:val="22"/>
            <w:u w:val="none"/>
          </w:rPr>
          <w:tab/>
        </w:r>
        <w:r w:rsidRPr="0071112F">
          <w:rPr>
            <w:rStyle w:val="Hypertextovodkaz"/>
            <w:noProof/>
          </w:rPr>
          <w:t>Pominutí majetkových poměrů pachatele a nenařízení ústního jednání</w:t>
        </w:r>
        <w:r>
          <w:rPr>
            <w:noProof/>
            <w:webHidden/>
          </w:rPr>
          <w:tab/>
        </w:r>
        <w:r>
          <w:rPr>
            <w:noProof/>
            <w:webHidden/>
          </w:rPr>
          <w:fldChar w:fldCharType="begin"/>
        </w:r>
        <w:r>
          <w:rPr>
            <w:noProof/>
            <w:webHidden/>
          </w:rPr>
          <w:instrText xml:space="preserve"> PAGEREF _Toc212809704 \h </w:instrText>
        </w:r>
        <w:r>
          <w:rPr>
            <w:noProof/>
            <w:webHidden/>
          </w:rPr>
        </w:r>
        <w:r>
          <w:rPr>
            <w:noProof/>
            <w:webHidden/>
          </w:rPr>
          <w:fldChar w:fldCharType="separate"/>
        </w:r>
        <w:r>
          <w:rPr>
            <w:noProof/>
            <w:webHidden/>
          </w:rPr>
          <w:t>4</w:t>
        </w:r>
        <w:r>
          <w:rPr>
            <w:noProof/>
            <w:webHidden/>
          </w:rPr>
          <w:fldChar w:fldCharType="end"/>
        </w:r>
      </w:hyperlink>
    </w:p>
    <w:p w14:paraId="106AAAD3" w14:textId="17F87B8F" w:rsidR="00F10AC6" w:rsidRDefault="00F10AC6">
      <w:pPr>
        <w:pStyle w:val="Obsah4"/>
        <w:rPr>
          <w:rFonts w:asciiTheme="minorHAnsi" w:eastAsiaTheme="minorEastAsia" w:hAnsiTheme="minorHAnsi" w:cstheme="minorBidi"/>
          <w:b w:val="0"/>
          <w:noProof/>
          <w:sz w:val="22"/>
          <w:szCs w:val="22"/>
          <w:u w:val="none"/>
        </w:rPr>
      </w:pPr>
      <w:hyperlink w:anchor="_Toc212809705" w:history="1">
        <w:r w:rsidRPr="0071112F">
          <w:rPr>
            <w:rStyle w:val="Hypertextovodkaz"/>
            <w:noProof/>
          </w:rPr>
          <w:t>5.</w:t>
        </w:r>
        <w:r>
          <w:rPr>
            <w:rFonts w:asciiTheme="minorHAnsi" w:eastAsiaTheme="minorEastAsia" w:hAnsiTheme="minorHAnsi" w:cstheme="minorBidi"/>
            <w:b w:val="0"/>
            <w:noProof/>
            <w:sz w:val="22"/>
            <w:szCs w:val="22"/>
            <w:u w:val="none"/>
          </w:rPr>
          <w:tab/>
        </w:r>
        <w:r w:rsidRPr="0071112F">
          <w:rPr>
            <w:rStyle w:val="Hypertextovodkaz"/>
            <w:noProof/>
          </w:rPr>
          <w:t>Apelační princip, povinnost součinnosti dotčeného orgánu</w:t>
        </w:r>
        <w:r>
          <w:rPr>
            <w:noProof/>
            <w:webHidden/>
          </w:rPr>
          <w:tab/>
        </w:r>
        <w:r>
          <w:rPr>
            <w:noProof/>
            <w:webHidden/>
          </w:rPr>
          <w:fldChar w:fldCharType="begin"/>
        </w:r>
        <w:r>
          <w:rPr>
            <w:noProof/>
            <w:webHidden/>
          </w:rPr>
          <w:instrText xml:space="preserve"> PAGEREF _Toc212809705 \h </w:instrText>
        </w:r>
        <w:r>
          <w:rPr>
            <w:noProof/>
            <w:webHidden/>
          </w:rPr>
        </w:r>
        <w:r>
          <w:rPr>
            <w:noProof/>
            <w:webHidden/>
          </w:rPr>
          <w:fldChar w:fldCharType="separate"/>
        </w:r>
        <w:r>
          <w:rPr>
            <w:noProof/>
            <w:webHidden/>
          </w:rPr>
          <w:t>6</w:t>
        </w:r>
        <w:r>
          <w:rPr>
            <w:noProof/>
            <w:webHidden/>
          </w:rPr>
          <w:fldChar w:fldCharType="end"/>
        </w:r>
      </w:hyperlink>
    </w:p>
    <w:p w14:paraId="6728110E" w14:textId="5D817B64" w:rsidR="00F10AC6" w:rsidRDefault="00F10AC6">
      <w:pPr>
        <w:pStyle w:val="Obsah4"/>
        <w:rPr>
          <w:rFonts w:asciiTheme="minorHAnsi" w:eastAsiaTheme="minorEastAsia" w:hAnsiTheme="minorHAnsi" w:cstheme="minorBidi"/>
          <w:b w:val="0"/>
          <w:noProof/>
          <w:sz w:val="22"/>
          <w:szCs w:val="22"/>
          <w:u w:val="none"/>
        </w:rPr>
      </w:pPr>
      <w:hyperlink w:anchor="_Toc212809706" w:history="1">
        <w:r w:rsidRPr="0071112F">
          <w:rPr>
            <w:rStyle w:val="Hypertextovodkaz"/>
            <w:noProof/>
          </w:rPr>
          <w:t>6.</w:t>
        </w:r>
        <w:r>
          <w:rPr>
            <w:rFonts w:asciiTheme="minorHAnsi" w:eastAsiaTheme="minorEastAsia" w:hAnsiTheme="minorHAnsi" w:cstheme="minorBidi"/>
            <w:b w:val="0"/>
            <w:noProof/>
            <w:sz w:val="22"/>
            <w:szCs w:val="22"/>
            <w:u w:val="none"/>
          </w:rPr>
          <w:tab/>
        </w:r>
        <w:r w:rsidRPr="0071112F">
          <w:rPr>
            <w:rStyle w:val="Hypertextovodkaz"/>
            <w:noProof/>
          </w:rPr>
          <w:t>Úspěšný nesouhlas orgánu státní památkové péče s dodatečným povolením stavby</w:t>
        </w:r>
        <w:r>
          <w:rPr>
            <w:noProof/>
            <w:webHidden/>
          </w:rPr>
          <w:tab/>
        </w:r>
        <w:r>
          <w:rPr>
            <w:noProof/>
            <w:webHidden/>
          </w:rPr>
          <w:fldChar w:fldCharType="begin"/>
        </w:r>
        <w:r>
          <w:rPr>
            <w:noProof/>
            <w:webHidden/>
          </w:rPr>
          <w:instrText xml:space="preserve"> PAGEREF _Toc212809706 \h </w:instrText>
        </w:r>
        <w:r>
          <w:rPr>
            <w:noProof/>
            <w:webHidden/>
          </w:rPr>
        </w:r>
        <w:r>
          <w:rPr>
            <w:noProof/>
            <w:webHidden/>
          </w:rPr>
          <w:fldChar w:fldCharType="separate"/>
        </w:r>
        <w:r>
          <w:rPr>
            <w:noProof/>
            <w:webHidden/>
          </w:rPr>
          <w:t>7</w:t>
        </w:r>
        <w:r>
          <w:rPr>
            <w:noProof/>
            <w:webHidden/>
          </w:rPr>
          <w:fldChar w:fldCharType="end"/>
        </w:r>
      </w:hyperlink>
    </w:p>
    <w:p w14:paraId="07232CF7" w14:textId="56464867" w:rsidR="00F10AC6" w:rsidRDefault="00F10AC6">
      <w:pPr>
        <w:pStyle w:val="Obsah4"/>
        <w:rPr>
          <w:rFonts w:asciiTheme="minorHAnsi" w:eastAsiaTheme="minorEastAsia" w:hAnsiTheme="minorHAnsi" w:cstheme="minorBidi"/>
          <w:b w:val="0"/>
          <w:noProof/>
          <w:sz w:val="22"/>
          <w:szCs w:val="22"/>
          <w:u w:val="none"/>
        </w:rPr>
      </w:pPr>
      <w:hyperlink w:anchor="_Toc212809707" w:history="1">
        <w:r w:rsidRPr="0071112F">
          <w:rPr>
            <w:rStyle w:val="Hypertextovodkaz"/>
            <w:noProof/>
          </w:rPr>
          <w:t>7.</w:t>
        </w:r>
        <w:r>
          <w:rPr>
            <w:rFonts w:asciiTheme="minorHAnsi" w:eastAsiaTheme="minorEastAsia" w:hAnsiTheme="minorHAnsi" w:cstheme="minorBidi"/>
            <w:b w:val="0"/>
            <w:noProof/>
            <w:sz w:val="22"/>
            <w:szCs w:val="22"/>
            <w:u w:val="none"/>
          </w:rPr>
          <w:tab/>
        </w:r>
        <w:r w:rsidRPr="0071112F">
          <w:rPr>
            <w:rStyle w:val="Hypertextovodkaz"/>
            <w:noProof/>
          </w:rPr>
          <w:t>Forma posouzení základní ideové podoby stavebního záměru</w:t>
        </w:r>
        <w:r>
          <w:rPr>
            <w:noProof/>
            <w:webHidden/>
          </w:rPr>
          <w:tab/>
        </w:r>
        <w:r>
          <w:rPr>
            <w:noProof/>
            <w:webHidden/>
          </w:rPr>
          <w:fldChar w:fldCharType="begin"/>
        </w:r>
        <w:r>
          <w:rPr>
            <w:noProof/>
            <w:webHidden/>
          </w:rPr>
          <w:instrText xml:space="preserve"> PAGEREF _Toc212809707 \h </w:instrText>
        </w:r>
        <w:r>
          <w:rPr>
            <w:noProof/>
            <w:webHidden/>
          </w:rPr>
        </w:r>
        <w:r>
          <w:rPr>
            <w:noProof/>
            <w:webHidden/>
          </w:rPr>
          <w:fldChar w:fldCharType="separate"/>
        </w:r>
        <w:r>
          <w:rPr>
            <w:noProof/>
            <w:webHidden/>
          </w:rPr>
          <w:t>9</w:t>
        </w:r>
        <w:r>
          <w:rPr>
            <w:noProof/>
            <w:webHidden/>
          </w:rPr>
          <w:fldChar w:fldCharType="end"/>
        </w:r>
      </w:hyperlink>
    </w:p>
    <w:p w14:paraId="6B80C244" w14:textId="0D5A6796" w:rsidR="00F10AC6" w:rsidRDefault="00F10AC6">
      <w:pPr>
        <w:pStyle w:val="Obsah4"/>
        <w:rPr>
          <w:rFonts w:asciiTheme="minorHAnsi" w:eastAsiaTheme="minorEastAsia" w:hAnsiTheme="minorHAnsi" w:cstheme="minorBidi"/>
          <w:b w:val="0"/>
          <w:noProof/>
          <w:sz w:val="22"/>
          <w:szCs w:val="22"/>
          <w:u w:val="none"/>
        </w:rPr>
      </w:pPr>
      <w:hyperlink w:anchor="_Toc212809708" w:history="1">
        <w:r w:rsidRPr="0071112F">
          <w:rPr>
            <w:rStyle w:val="Hypertextovodkaz"/>
            <w:noProof/>
          </w:rPr>
          <w:t>8.</w:t>
        </w:r>
        <w:r>
          <w:rPr>
            <w:rFonts w:asciiTheme="minorHAnsi" w:eastAsiaTheme="minorEastAsia" w:hAnsiTheme="minorHAnsi" w:cstheme="minorBidi"/>
            <w:b w:val="0"/>
            <w:noProof/>
            <w:sz w:val="22"/>
            <w:szCs w:val="22"/>
            <w:u w:val="none"/>
          </w:rPr>
          <w:tab/>
        </w:r>
        <w:r w:rsidRPr="0071112F">
          <w:rPr>
            <w:rStyle w:val="Hypertextovodkaz"/>
            <w:noProof/>
          </w:rPr>
          <w:t>Apelační princip, povinnost součinnosti dotčeného orgánu</w:t>
        </w:r>
        <w:r>
          <w:rPr>
            <w:noProof/>
            <w:webHidden/>
          </w:rPr>
          <w:tab/>
        </w:r>
        <w:r>
          <w:rPr>
            <w:noProof/>
            <w:webHidden/>
          </w:rPr>
          <w:fldChar w:fldCharType="begin"/>
        </w:r>
        <w:r>
          <w:rPr>
            <w:noProof/>
            <w:webHidden/>
          </w:rPr>
          <w:instrText xml:space="preserve"> PAGEREF _Toc212809708 \h </w:instrText>
        </w:r>
        <w:r>
          <w:rPr>
            <w:noProof/>
            <w:webHidden/>
          </w:rPr>
        </w:r>
        <w:r>
          <w:rPr>
            <w:noProof/>
            <w:webHidden/>
          </w:rPr>
          <w:fldChar w:fldCharType="separate"/>
        </w:r>
        <w:r>
          <w:rPr>
            <w:noProof/>
            <w:webHidden/>
          </w:rPr>
          <w:t>10</w:t>
        </w:r>
        <w:r>
          <w:rPr>
            <w:noProof/>
            <w:webHidden/>
          </w:rPr>
          <w:fldChar w:fldCharType="end"/>
        </w:r>
      </w:hyperlink>
    </w:p>
    <w:p w14:paraId="7B0DE605" w14:textId="055476CC" w:rsidR="003A4F97" w:rsidRPr="0035401C" w:rsidRDefault="003A4F97" w:rsidP="00FD741E">
      <w:pPr>
        <w:pStyle w:val="Obsah4"/>
      </w:pPr>
      <w:r w:rsidRPr="0031533B">
        <w:rPr>
          <w:b w:val="0"/>
        </w:rPr>
        <w:fldChar w:fldCharType="end"/>
      </w:r>
    </w:p>
    <w:p w14:paraId="5F3E3990" w14:textId="18BEE9CF" w:rsidR="00E616FD" w:rsidRDefault="007C0244" w:rsidP="00FC485B">
      <w:pPr>
        <w:pStyle w:val="StylNadpis4Ped6bZa6b"/>
        <w:ind w:left="360"/>
      </w:pPr>
      <w:bookmarkStart w:id="0" w:name="_Toc212809701"/>
      <w:r w:rsidRPr="007C0244">
        <w:t>Veřejné prostranství a Pražský hrad</w:t>
      </w:r>
      <w:bookmarkEnd w:id="0"/>
    </w:p>
    <w:p w14:paraId="5AD01A68" w14:textId="5B5B95C2" w:rsidR="007C0244" w:rsidRDefault="007C0244" w:rsidP="00E616FD">
      <w:pPr>
        <w:spacing w:after="0"/>
        <w:jc w:val="both"/>
        <w:rPr>
          <w:rFonts w:ascii="Times New Roman" w:hAnsi="Times New Roman"/>
          <w:b/>
          <w:sz w:val="24"/>
          <w:szCs w:val="24"/>
        </w:rPr>
      </w:pPr>
    </w:p>
    <w:p w14:paraId="638D1C73" w14:textId="4B666AED" w:rsidR="007C0244" w:rsidRDefault="007C0244" w:rsidP="00E616FD">
      <w:pPr>
        <w:spacing w:after="0"/>
        <w:jc w:val="both"/>
        <w:rPr>
          <w:rFonts w:ascii="Times New Roman" w:hAnsi="Times New Roman"/>
          <w:b/>
          <w:sz w:val="24"/>
          <w:szCs w:val="24"/>
        </w:rPr>
      </w:pPr>
      <w:r w:rsidRPr="007C0244">
        <w:rPr>
          <w:rFonts w:ascii="Times New Roman" w:hAnsi="Times New Roman"/>
          <w:b/>
          <w:sz w:val="24"/>
          <w:szCs w:val="24"/>
        </w:rPr>
        <w:t>U</w:t>
      </w:r>
      <w:r w:rsidRPr="007C0244">
        <w:rPr>
          <w:rFonts w:ascii="Times New Roman" w:hAnsi="Times New Roman"/>
          <w:b/>
          <w:sz w:val="24"/>
          <w:szCs w:val="24"/>
        </w:rPr>
        <w:t xml:space="preserve">snesení Ústavního soudu ČR </w:t>
      </w:r>
      <w:proofErr w:type="spellStart"/>
      <w:r w:rsidRPr="007C0244">
        <w:rPr>
          <w:rFonts w:ascii="Times New Roman" w:hAnsi="Times New Roman"/>
          <w:b/>
          <w:sz w:val="24"/>
          <w:szCs w:val="24"/>
        </w:rPr>
        <w:t>sp</w:t>
      </w:r>
      <w:proofErr w:type="spellEnd"/>
      <w:r w:rsidRPr="007C0244">
        <w:rPr>
          <w:rFonts w:ascii="Times New Roman" w:hAnsi="Times New Roman"/>
          <w:b/>
          <w:sz w:val="24"/>
          <w:szCs w:val="24"/>
        </w:rPr>
        <w:t>. zn. III. ÚS 1888/24 ze dne 26. 11. 2024</w:t>
      </w:r>
      <w:r>
        <w:rPr>
          <w:rFonts w:ascii="Times New Roman" w:hAnsi="Times New Roman"/>
          <w:b/>
          <w:sz w:val="24"/>
          <w:szCs w:val="24"/>
        </w:rPr>
        <w:t xml:space="preserve"> (</w:t>
      </w:r>
      <w:r w:rsidR="005338A7">
        <w:rPr>
          <w:rFonts w:ascii="Times New Roman" w:hAnsi="Times New Roman"/>
          <w:b/>
          <w:sz w:val="24"/>
          <w:szCs w:val="24"/>
        </w:rPr>
        <w:t>A058)</w:t>
      </w:r>
    </w:p>
    <w:p w14:paraId="53035364" w14:textId="77777777" w:rsidR="00E616FD" w:rsidRPr="00E616FD" w:rsidRDefault="00E616FD" w:rsidP="00FC485B">
      <w:pPr>
        <w:spacing w:after="120"/>
        <w:jc w:val="both"/>
        <w:rPr>
          <w:rFonts w:ascii="Times New Roman" w:hAnsi="Times New Roman"/>
          <w:b/>
          <w:sz w:val="24"/>
          <w:szCs w:val="24"/>
        </w:rPr>
      </w:pPr>
      <w:r w:rsidRPr="00E616FD">
        <w:rPr>
          <w:rFonts w:ascii="Times New Roman" w:hAnsi="Times New Roman"/>
          <w:b/>
          <w:sz w:val="24"/>
          <w:szCs w:val="24"/>
        </w:rPr>
        <w:t>vybrané části judikátu:</w:t>
      </w:r>
    </w:p>
    <w:p w14:paraId="674C8AA1" w14:textId="77777777" w:rsidR="005338A7" w:rsidRPr="005338A7"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 xml:space="preserve">Veřejným prostranstvím se v právní teorii rozumí prostranství, které je předmětem veřejného užívání, resp. užívání všeobecně přístupných materiálních statků předem neomezeným okruhem uživatelů. </w:t>
      </w:r>
    </w:p>
    <w:p w14:paraId="7E6F3367" w14:textId="77777777" w:rsidR="005338A7" w:rsidRPr="005338A7"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Již z podstaty demonstrativního a tedy neúplného výčtu takových míst obsaženého v zákonné definici pak vyplývá, že není možné z veřejných prostranství vyloučit prostranství, která v něm nejsou výslovně uvedená, avšak splňují podmínku přístupnosti každému bez omezení. ... Na druhou stranu i v definici výslovně uvedené místo nemusí být vždy veřejným prostranstvím, jak bude vyloženo níže.</w:t>
      </w:r>
    </w:p>
    <w:p w14:paraId="0B13EC5C" w14:textId="77777777" w:rsidR="005338A7" w:rsidRPr="005338A7"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Jde-li o omezení volného přístupu či omezení rozsahu obecného užívání daného prostranství, která jsou znakem "neveřejného" charakteru prostranství, mají různé podoby. Může jít o omezení ze strany vlastníků, kteří si ponechali kontrolu, resp. vykonávají právní panství nad daným prostranstvím, či o režimová omezení ať už zákonná či podzákonná. Jde-li o prostor náměstí U Svatého Jiří, není zde pochyb, že ten podléhá kombinaci omezení, která vycházejí jak z vůle vlastníka, tak ze zákonných či podzákonných právních předpisů, jak je blíže rozvedeno v napadených rozhodnutích.</w:t>
      </w:r>
    </w:p>
    <w:p w14:paraId="165F354E" w14:textId="77777777" w:rsidR="005338A7" w:rsidRPr="005338A7"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 xml:space="preserve">Stěžovatel se přesto domnívá, že náměstí je ex lege veřejným prostranstvím, neboť je přímo obsaženo v definici pojmu. S takovou rigidně </w:t>
      </w:r>
      <w:proofErr w:type="spellStart"/>
      <w:r w:rsidRPr="005338A7">
        <w:rPr>
          <w:rFonts w:ascii="Times New Roman" w:hAnsi="Times New Roman"/>
          <w:sz w:val="24"/>
          <w:szCs w:val="24"/>
        </w:rPr>
        <w:t>textuální</w:t>
      </w:r>
      <w:proofErr w:type="spellEnd"/>
      <w:r w:rsidRPr="005338A7">
        <w:rPr>
          <w:rFonts w:ascii="Times New Roman" w:hAnsi="Times New Roman"/>
          <w:sz w:val="24"/>
          <w:szCs w:val="24"/>
        </w:rPr>
        <w:t xml:space="preserve"> interpretací však nelze souhlasit, neboť obsahuje-li zákonná definice </w:t>
      </w:r>
      <w:proofErr w:type="spellStart"/>
      <w:r w:rsidRPr="005338A7">
        <w:rPr>
          <w:rFonts w:ascii="Times New Roman" w:hAnsi="Times New Roman"/>
          <w:sz w:val="24"/>
          <w:szCs w:val="24"/>
        </w:rPr>
        <w:t>příkladmý</w:t>
      </w:r>
      <w:proofErr w:type="spellEnd"/>
      <w:r w:rsidRPr="005338A7">
        <w:rPr>
          <w:rFonts w:ascii="Times New Roman" w:hAnsi="Times New Roman"/>
          <w:sz w:val="24"/>
          <w:szCs w:val="24"/>
        </w:rPr>
        <w:t xml:space="preserve"> výčet prostor, které znaky veřejného prostranství zpravidla naplňují, neznamená to, že tomu tak u nich musí být vždy. Obdobně ani tržiště či chodníky nemusí být bez dalšího veřejným prostranstvím, neboť bezpochyby mohou být součástí uzavřeného objektu či areálu se zvláštním režimem (viz např. chodníky v areálech hřbitovů).</w:t>
      </w:r>
    </w:p>
    <w:p w14:paraId="5D8CA76F" w14:textId="77777777" w:rsidR="005338A7" w:rsidRPr="005338A7"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 xml:space="preserve">Posouzení porušení práva stěžovatele na zorganizování shromáždění na náměstí U Svatého Jiří se nicméně odvíjí pouze od posouzení povahy zamýšleného místa konání z pohledu neomezené přístupnosti pro všechny. V tomto smyslu dává Ústavní soud za pravdu Nejvyššímu </w:t>
      </w:r>
      <w:r w:rsidRPr="005338A7">
        <w:rPr>
          <w:rFonts w:ascii="Times New Roman" w:hAnsi="Times New Roman"/>
          <w:sz w:val="24"/>
          <w:szCs w:val="24"/>
        </w:rPr>
        <w:lastRenderedPageBreak/>
        <w:t>správnímu soudu, který poukázal nejen na faktickou kontrolu vlastníka nad užíváním předmětného pozemku, ale i na množství dalších omezení užívání areálu, jak ostatně velice podrobně vysvětlil již žalovaný správní orgán. Za těchto okolností nelze nade vši pochybnost náměstí U Svatého Jiří za veřejné prostranství považovat. Historický argument stěžovatele, že tento prostor je obecně přístupný a má charakter veřejného prostranství beze změny již od roku 1976, představuje v této souvislosti překvapivou argumentační zkratku, protože se vztahuje k velmi represivnímu období nedávných dějin, pro které je charakteristické potlačování základních práv včetně práva shromažďovacího i vlastnického.</w:t>
      </w:r>
    </w:p>
    <w:p w14:paraId="3F4738D1" w14:textId="78002CB4" w:rsidR="00402DF1" w:rsidRDefault="005338A7" w:rsidP="005338A7">
      <w:pPr>
        <w:spacing w:after="0"/>
        <w:ind w:firstLine="708"/>
        <w:jc w:val="both"/>
        <w:rPr>
          <w:rFonts w:ascii="Times New Roman" w:hAnsi="Times New Roman"/>
          <w:sz w:val="24"/>
          <w:szCs w:val="24"/>
        </w:rPr>
      </w:pPr>
      <w:r w:rsidRPr="005338A7">
        <w:rPr>
          <w:rFonts w:ascii="Times New Roman" w:hAnsi="Times New Roman"/>
          <w:sz w:val="24"/>
          <w:szCs w:val="24"/>
        </w:rPr>
        <w:t>Omezení shromažďovacího práva v nyní posuzované věci totiž vychází ze zákona o hlavním městě Praz</w:t>
      </w:r>
      <w:bookmarkStart w:id="1" w:name="_GoBack"/>
      <w:bookmarkEnd w:id="1"/>
      <w:r w:rsidRPr="005338A7">
        <w:rPr>
          <w:rFonts w:ascii="Times New Roman" w:hAnsi="Times New Roman"/>
          <w:sz w:val="24"/>
          <w:szCs w:val="24"/>
        </w:rPr>
        <w:t>e a v něm obsažené zákonné definici veřejného prostranství, tedy přesně tak, jak předpokládá čl. 4 odst. 2 Listiny. Shledaly-li správní soudy a před nimi již správní orgány, že náměstí U Svatého Jiří není svou povahou veřejným prostranstvím, je taková interpretace a aplikace definice veřejného prostranství v souladu s judikaturou Ústavního soudu a Ústavní soud neshledává, že by byla projevem svévole, nepředvídatelné interpretační libovůle či byla v extrémním rozporu s principy spravedlnosti.</w:t>
      </w:r>
    </w:p>
    <w:p w14:paraId="2A5B72AF" w14:textId="78A37845" w:rsidR="0061799B" w:rsidRPr="009A1C64" w:rsidRDefault="005338A7" w:rsidP="00FC485B">
      <w:pPr>
        <w:pStyle w:val="StylNadpis4Ped6bZa6b"/>
        <w:ind w:left="360"/>
      </w:pPr>
      <w:bookmarkStart w:id="2" w:name="_Toc212809702"/>
      <w:r w:rsidRPr="005338A7">
        <w:t xml:space="preserve">Územní plán, památková zóna a podmínka vypracování regulačního </w:t>
      </w:r>
      <w:r w:rsidRPr="009A1C64">
        <w:t>plánu</w:t>
      </w:r>
      <w:r w:rsidRPr="009A1C64">
        <w:rPr>
          <w:rStyle w:val="Znakapoznpodarou"/>
        </w:rPr>
        <w:footnoteReference w:id="1"/>
      </w:r>
      <w:bookmarkEnd w:id="2"/>
    </w:p>
    <w:p w14:paraId="114B655D" w14:textId="080CB37F" w:rsidR="0061799B" w:rsidRPr="00133418" w:rsidRDefault="00133418" w:rsidP="0061799B">
      <w:pPr>
        <w:spacing w:after="0"/>
        <w:jc w:val="both"/>
        <w:rPr>
          <w:rFonts w:ascii="Times New Roman" w:hAnsi="Times New Roman"/>
          <w:b/>
          <w:sz w:val="24"/>
          <w:szCs w:val="24"/>
        </w:rPr>
      </w:pPr>
      <w:r>
        <w:rPr>
          <w:rFonts w:ascii="Times New Roman" w:hAnsi="Times New Roman"/>
          <w:b/>
          <w:sz w:val="24"/>
          <w:szCs w:val="24"/>
        </w:rPr>
        <w:t>R</w:t>
      </w:r>
      <w:r w:rsidRPr="00133418">
        <w:rPr>
          <w:rFonts w:ascii="Times New Roman" w:hAnsi="Times New Roman"/>
          <w:b/>
          <w:sz w:val="24"/>
          <w:szCs w:val="24"/>
        </w:rPr>
        <w:t>ozsudek Krajského soudu v Praze č.j. 59 A 5/2022 – 163 ze dne 23. 6. 2022</w:t>
      </w:r>
      <w:r w:rsidR="0061799B" w:rsidRPr="00133418">
        <w:rPr>
          <w:rFonts w:ascii="Times New Roman" w:hAnsi="Times New Roman"/>
          <w:b/>
          <w:sz w:val="24"/>
          <w:szCs w:val="24"/>
        </w:rPr>
        <w:t xml:space="preserve"> (</w:t>
      </w:r>
      <w:r w:rsidRPr="00133418">
        <w:rPr>
          <w:rFonts w:ascii="Times New Roman" w:hAnsi="Times New Roman"/>
          <w:b/>
          <w:sz w:val="24"/>
          <w:szCs w:val="24"/>
        </w:rPr>
        <w:t>D344</w:t>
      </w:r>
      <w:r w:rsidR="0061799B" w:rsidRPr="00133418">
        <w:rPr>
          <w:rFonts w:ascii="Times New Roman" w:hAnsi="Times New Roman"/>
          <w:b/>
          <w:sz w:val="24"/>
          <w:szCs w:val="24"/>
        </w:rPr>
        <w:t>)</w:t>
      </w:r>
    </w:p>
    <w:p w14:paraId="147C66B2" w14:textId="77777777" w:rsidR="0061799B" w:rsidRPr="00133418" w:rsidRDefault="0061799B" w:rsidP="00FC485B">
      <w:pPr>
        <w:spacing w:after="120"/>
        <w:jc w:val="both"/>
        <w:rPr>
          <w:rFonts w:ascii="Times New Roman" w:hAnsi="Times New Roman"/>
          <w:b/>
          <w:sz w:val="24"/>
          <w:szCs w:val="24"/>
        </w:rPr>
      </w:pPr>
      <w:r w:rsidRPr="00133418">
        <w:rPr>
          <w:rFonts w:ascii="Times New Roman" w:hAnsi="Times New Roman"/>
          <w:b/>
          <w:sz w:val="24"/>
          <w:szCs w:val="24"/>
        </w:rPr>
        <w:t>vybrané části judikátu:</w:t>
      </w:r>
    </w:p>
    <w:p w14:paraId="3A959BF5"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Z koordinovaného stanoviska krajského úřadu … soud zjistil, že krajský úřad požadoval pro plochu přestavby 246-P (Na Váze 2) stanovení přípustného využití a podmínek prostorového uspořádání a zároveň doplnit konkrétní podmínky pro tuto plochu. Své požadavky odůvodnil tím, že se plocha nachází v městské památkové zóně R, přičemž se historicky v této lokalitě (nároží ulic Na Sekyře a Trojanova) nacházela nízkopodlažní obytná zástavba navazující uliční čárou na ulici T. Jedná se podle krajského úřadu o pohledově exponovanou lokalitu na okraji městské památkové zóny v blízkosti architektonicky významných staveb (architektonicky a památkově hodnotná zástavba v této části ulice … s dominantou č. p. … arch. L). Požadoval tak pro zajištění ochrany památkové hodnoty městské památkové zóny stanovení regulativů pro novou výstavbu na ploše 246-P.</w:t>
      </w:r>
    </w:p>
    <w:p w14:paraId="188CDD00"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 xml:space="preserve">Odpůrce vytipoval určité proluky v památkové zóně města R, u kterých považoval za důležité z důvodu ochrany charakteru takových lokalit stanovit podmínku vydání regulačního plánu, který by v budoucnu podrobněji upravoval podmínky využití daného území. ... Z grafické části napadeného územního plánu je jednak zcela zřejmé, že do městské památkové zóny patří i dotčené pozemky navrhovatele a), byť se nacházejí na jejím okraji, zároveň ale není ani pochyb o existenci této městské památkové zóny, která byla vyhlášena vyhláškou Ministerstva kultury České republiky č. 476/1992 Sb. … Navrhovateli a) tak nelze dát za pravdu, že by se v bezprostředním okolí dotčených nemovitostí nenacházely architektonicky a historicky určující prvky. S ohledem na velké množství těchto památek odkazuje soud na odůvodnění napadeného </w:t>
      </w:r>
      <w:r w:rsidRPr="00133418">
        <w:rPr>
          <w:rFonts w:ascii="Times New Roman" w:hAnsi="Times New Roman"/>
          <w:sz w:val="24"/>
          <w:szCs w:val="24"/>
        </w:rPr>
        <w:lastRenderedPageBreak/>
        <w:t>územního plánu (str. 171 a násl.), kde jsou tyto památky jednak podrobně vyjmenovány, a jednak je zde shrnuta i historie města R, jejíž důležitost považuje soud obecně za dostatečně podloženou. Soud nepovažuje za účelné tyto pasáže obsáhle citovat. Námitka navrhovatele a), že se dotčené pozemky nenacházejí v blízkosti historicky a architektonicky cenné lokality města R, není důvodná.</w:t>
      </w:r>
    </w:p>
    <w:p w14:paraId="6F06F80D"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Navrhovatel a) dále namítal, že stanovením povinnosti vydání regulačního plánu z podnětu dochází k neodůvodněnému a nezákonnému zásahu do jeho vlastnického práva k pozemkům. Navrhovatel a) ovšem nijak blíže nespecifikoval, v čem konkrétně má zásah do jeho vlastnického práva spočívat. … Důvody, které odpůrce uvedl, spočívají zejména ve veřejném zájmu památkové péče a ochrany nejvýznamnější kulturních hodnot na území města R s tím, že odpůrce vytipoval lokality, které mají charakter volných nezastavěných proluk, a má za to, že případnému zastavění proluk je třeba věnovat zvýšenou pozornost. ... Navíc krajský úřad v koordinovaném stanovisku ze dne 13. 11. 2015 uvedl, že se právě na dotčených pozemcích nacházela nízkopodlažní obytná zástavba. Nároží tehdy bylo historicky zastavěné, a to zcela jinou zástavbou, než která se na dotčených pozemcích nachází nyní. Požadavky odpůrce uvedené ve výroku (L.05) odst. b) jsou v souladu s popsanou koncepcí [výrok (B.04)] i historickými údaji známými o této lokalitě.</w:t>
      </w:r>
    </w:p>
    <w:p w14:paraId="79670D9F"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Soud tak má za to, že odpůrce uvedl dostatečně závažné důvody, na jejichž základě má za to, že by měla být stanovena podmínka vydání regulačního plánu, která by odpůrci do budoucna umožnila dosáhnout stanovených cílů (zejména ochrany historických a kulturních hodnot města R), přičemž tyto důvody jsou pro plochu přeměny 246-P, která se nachází v Městské památkové zóně města R, přiléhavé, a byť je zastavěna (parkovištěm), tak se nejedná o typ zástavby, kterou odpůrce dle svých záměrů popsaných v napadeném územním plánu preferuje, neboť parkoviště nepředstavuje obestavění a urbanistické dotvoření jižní strany ulice N. a T.</w:t>
      </w:r>
    </w:p>
    <w:p w14:paraId="014E1D5A" w14:textId="01827331" w:rsidR="0061799B"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Není možné případné omezení vlastnického práva prodlužovat z důvodu, které primárně spočívají v organizačních záležitostech příslušného úřadu. Ovšem s přihlédnutím k tomu, že napadený územní plán vymezuje celkem čtyři plochy, u nichž stanovil podmínku vydání regulačního plánu, považuje soud za přípustné, že je zohledněna i nedostatečná obsazenost příslušného správního orgánu, neboť v situaci, kdy by byly dány podněty k pořízení všech čtyř regulačních plánů v časově blízkém okamžiku, lze předpokládat značné zatížení příslušného správního orgánu, a tudíž lze akceptovat jako přiměřenou lhůtu pro vydání těchto regulačních plánů lhůtu šesti let od nabytí účinnosti napadeného územního plánu.</w:t>
      </w:r>
    </w:p>
    <w:p w14:paraId="2CC8A8D7" w14:textId="7FC238BB" w:rsidR="00C72EC3" w:rsidRPr="00133418" w:rsidRDefault="00133418" w:rsidP="00FC485B">
      <w:pPr>
        <w:pStyle w:val="StylNadpis4Ped6bZa6b"/>
        <w:ind w:left="360"/>
      </w:pPr>
      <w:bookmarkStart w:id="3" w:name="_Toc212809703"/>
      <w:r w:rsidRPr="00133418">
        <w:t>Obsah závazného stanoviska a vzájemná součinnost stavebního úřadu a dotčeného orgánu</w:t>
      </w:r>
      <w:bookmarkEnd w:id="3"/>
    </w:p>
    <w:p w14:paraId="2901FADA" w14:textId="07B53DCC" w:rsidR="006E7CB3" w:rsidRPr="00133418" w:rsidRDefault="00133418" w:rsidP="00FC485B">
      <w:pPr>
        <w:spacing w:after="0"/>
        <w:jc w:val="both"/>
        <w:rPr>
          <w:rFonts w:ascii="Times New Roman" w:hAnsi="Times New Roman"/>
          <w:b/>
          <w:sz w:val="24"/>
          <w:szCs w:val="24"/>
        </w:rPr>
      </w:pPr>
      <w:r w:rsidRPr="00133418">
        <w:rPr>
          <w:rFonts w:ascii="Times New Roman" w:hAnsi="Times New Roman"/>
          <w:b/>
          <w:sz w:val="24"/>
          <w:szCs w:val="24"/>
        </w:rPr>
        <w:t>Rozsudek Nejvyššího správního soudu č.j. 6 As 86/2024 – 25 ze dne 27. 11. 2024</w:t>
      </w:r>
      <w:r w:rsidR="006E7CB3" w:rsidRPr="00133418">
        <w:rPr>
          <w:rFonts w:ascii="Times New Roman" w:hAnsi="Times New Roman"/>
          <w:b/>
          <w:sz w:val="24"/>
          <w:szCs w:val="24"/>
        </w:rPr>
        <w:t xml:space="preserve"> (B</w:t>
      </w:r>
      <w:r w:rsidRPr="00133418">
        <w:rPr>
          <w:rFonts w:ascii="Times New Roman" w:hAnsi="Times New Roman"/>
          <w:b/>
          <w:sz w:val="24"/>
          <w:szCs w:val="24"/>
        </w:rPr>
        <w:t>349</w:t>
      </w:r>
      <w:r w:rsidR="006E7CB3" w:rsidRPr="00133418">
        <w:rPr>
          <w:rFonts w:ascii="Times New Roman" w:hAnsi="Times New Roman"/>
          <w:b/>
          <w:sz w:val="24"/>
          <w:szCs w:val="24"/>
        </w:rPr>
        <w:t>)</w:t>
      </w:r>
    </w:p>
    <w:p w14:paraId="4C014BC2" w14:textId="77777777" w:rsidR="006E7CB3" w:rsidRPr="00133418" w:rsidRDefault="006E7CB3" w:rsidP="00FC485B">
      <w:pPr>
        <w:spacing w:after="120"/>
        <w:jc w:val="both"/>
        <w:rPr>
          <w:rFonts w:ascii="Times New Roman" w:hAnsi="Times New Roman"/>
          <w:b/>
          <w:sz w:val="24"/>
          <w:szCs w:val="24"/>
        </w:rPr>
      </w:pPr>
      <w:r w:rsidRPr="00133418">
        <w:rPr>
          <w:rFonts w:ascii="Times New Roman" w:hAnsi="Times New Roman"/>
          <w:b/>
          <w:sz w:val="24"/>
          <w:szCs w:val="24"/>
        </w:rPr>
        <w:t>vybrané části judikátu:</w:t>
      </w:r>
    </w:p>
    <w:p w14:paraId="66180473"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 xml:space="preserve">Závazné stanovisko (…) představuje kvalifikovaný podklad, který zásadním způsobem předurčuje a ovlivňuje výrok na něj navazujícího správního rozhodnutí. Správní orgán je obsahem závazného stanoviska vázán a nemůže posoudit jeho odbornou stránku ve smyslu její správnosti. Proto je nezbytné, aby obsah závazného stanoviska odpovídal požadavkům na odůvodnění správního rozhodnutí; musí obsahovat důvody, o které se opírá, podklady pro jeho </w:t>
      </w:r>
      <w:r w:rsidRPr="00133418">
        <w:rPr>
          <w:rFonts w:ascii="Times New Roman" w:hAnsi="Times New Roman"/>
          <w:sz w:val="24"/>
          <w:szCs w:val="24"/>
        </w:rPr>
        <w:lastRenderedPageBreak/>
        <w:t>vydání a úvahy, kterými se dotčený orgán řídil při hodnocení těchto podkladů a při výkladu právních předpisů. … ze závazného stanoviska musí být zřejmé, jaké skutkové okolnosti dotčený orgán státní správy posuzoval a z jakých úvah vycházel při svém odborném hodnocení; odborné posouzení musí být srozumitelné a dostatečně odůvodněné (…). Potvrzující závazné stanovisko (…) pak musí přezkoumatelným způsobem reagovat na odvolací námitky směřující proti potvrzovanému závaznému stanovisku, přičemž odvolací správní orgán musí ověřit, zda nadřízený dotčený orgán na odvolací námitky řádně reagoval. Není-li tomu tak, je povinen žádat nápravu. Není-li závazné stanovisko přezkoumatelné, trpí vadou nepřezkoumatelnosti též rozhodnutí správního orgánu, případně následně i rozsudek krajského soudu, který takové rozhodnutí přezkoumal.</w:t>
      </w:r>
    </w:p>
    <w:p w14:paraId="426FA3FE" w14:textId="77777777" w:rsidR="00133418" w:rsidRPr="00133418" w:rsidRDefault="00133418" w:rsidP="00133418">
      <w:pPr>
        <w:spacing w:after="0"/>
        <w:ind w:firstLine="708"/>
        <w:jc w:val="both"/>
        <w:rPr>
          <w:rFonts w:ascii="Times New Roman" w:hAnsi="Times New Roman"/>
          <w:sz w:val="24"/>
          <w:szCs w:val="24"/>
        </w:rPr>
      </w:pPr>
      <w:r w:rsidRPr="00133418">
        <w:rPr>
          <w:rFonts w:ascii="Times New Roman" w:hAnsi="Times New Roman"/>
          <w:sz w:val="24"/>
          <w:szCs w:val="24"/>
        </w:rPr>
        <w:t>Potvrzující závazná stanoviska ministerstva se pak věcně vyjadřují přímo k uplatněným námitkám odvolatelů/žalobců (…) a na tyto námitky přezkoumatelným způsobem reagují. Závazná stanoviska jako celek tak dostatečně podrobně popisují, proč jsou zamýšlené stavby a navržené stavební úpravy z hlediska zájmů státní památkové péče přípustné, včetně toho, že podmínky pro umístění staveb vycházejí ze současného stavu poznání kulturně historických hodnot, které je nezbytné zachovat při umožnění realizace zamýšleného záměru.</w:t>
      </w:r>
    </w:p>
    <w:p w14:paraId="254BA070" w14:textId="4FF3168C" w:rsidR="006E7CB3" w:rsidRPr="007C0244" w:rsidRDefault="00133418" w:rsidP="00133418">
      <w:pPr>
        <w:spacing w:after="0"/>
        <w:ind w:firstLine="708"/>
        <w:jc w:val="both"/>
        <w:rPr>
          <w:rFonts w:ascii="Times New Roman" w:hAnsi="Times New Roman"/>
          <w:sz w:val="24"/>
          <w:szCs w:val="24"/>
          <w:highlight w:val="yellow"/>
        </w:rPr>
      </w:pPr>
      <w:r w:rsidRPr="00133418">
        <w:rPr>
          <w:rFonts w:ascii="Times New Roman" w:hAnsi="Times New Roman"/>
          <w:sz w:val="24"/>
          <w:szCs w:val="24"/>
        </w:rPr>
        <w:t>… dotčené orgány jednající v mezích svých kompetencí nebyly povinny obstarávat žádné další podklady nad rámec dokumentace posuzovaných staveb.</w:t>
      </w:r>
    </w:p>
    <w:p w14:paraId="6156A00F" w14:textId="2DA2A3C8" w:rsidR="006E7CB3" w:rsidRPr="003C21EE" w:rsidRDefault="00133418" w:rsidP="00FC485B">
      <w:pPr>
        <w:pStyle w:val="StylNadpis4Ped6bZa6b"/>
        <w:ind w:left="360"/>
      </w:pPr>
      <w:bookmarkStart w:id="4" w:name="_Toc212809704"/>
      <w:r w:rsidRPr="00133418">
        <w:t xml:space="preserve">Pominutí </w:t>
      </w:r>
      <w:r w:rsidRPr="003C21EE">
        <w:t>majetkových poměrů pachatele a nenařízení ústního jednání</w:t>
      </w:r>
      <w:bookmarkEnd w:id="4"/>
    </w:p>
    <w:p w14:paraId="53474234" w14:textId="3AD0D022" w:rsidR="006E7CB3" w:rsidRPr="003C21EE" w:rsidRDefault="00133418" w:rsidP="006E7CB3">
      <w:pPr>
        <w:spacing w:after="0"/>
        <w:jc w:val="both"/>
        <w:rPr>
          <w:rFonts w:ascii="Times New Roman" w:hAnsi="Times New Roman"/>
          <w:b/>
          <w:sz w:val="24"/>
          <w:szCs w:val="24"/>
        </w:rPr>
      </w:pPr>
      <w:r w:rsidRPr="003C21EE">
        <w:rPr>
          <w:rFonts w:ascii="Times New Roman" w:hAnsi="Times New Roman"/>
          <w:b/>
          <w:sz w:val="24"/>
          <w:szCs w:val="24"/>
        </w:rPr>
        <w:t>Rozsudek Nejvyššího správního soudu č.j. 3 As 259/2023 – 40 ze dne 10. 2. 2025</w:t>
      </w:r>
      <w:r w:rsidR="003C21EE">
        <w:rPr>
          <w:rFonts w:ascii="Times New Roman" w:hAnsi="Times New Roman"/>
          <w:b/>
          <w:sz w:val="24"/>
          <w:szCs w:val="24"/>
        </w:rPr>
        <w:t xml:space="preserve"> (B353)</w:t>
      </w:r>
    </w:p>
    <w:p w14:paraId="6FC3AE2A" w14:textId="77777777" w:rsidR="006E7CB3" w:rsidRPr="003C21EE" w:rsidRDefault="006E7CB3" w:rsidP="00740047">
      <w:pPr>
        <w:spacing w:after="120"/>
        <w:jc w:val="both"/>
        <w:rPr>
          <w:rFonts w:ascii="Times New Roman" w:hAnsi="Times New Roman"/>
          <w:b/>
          <w:sz w:val="24"/>
          <w:szCs w:val="24"/>
        </w:rPr>
      </w:pPr>
      <w:r w:rsidRPr="003C21EE">
        <w:rPr>
          <w:rFonts w:ascii="Times New Roman" w:hAnsi="Times New Roman"/>
          <w:b/>
          <w:sz w:val="24"/>
          <w:szCs w:val="24"/>
        </w:rPr>
        <w:t>vybrané části judikátu:</w:t>
      </w:r>
    </w:p>
    <w:p w14:paraId="7E59585A"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 bylo především povinností stěžovatelky, aby městskému úřadu poskytla údaje o svém hospodaření, z nichž by městský úřad mohl vyhodnotit, zda je či není výše uložené sankce s ohledem na její poměry přiměřená či nikoliv. Stěžovatelka tak neučinila, a ani v odvolání neuvedla žádné výtky zpochybňující výši pokuty. Učinila tak částečně až v podané žalobě, kde namítala „drakonickou výši uloženého trestu“, neuvedla však, že by měla likvidační charakter a ani nepředestřela své majetkové poměry. </w:t>
      </w:r>
    </w:p>
    <w:p w14:paraId="449F824F"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Z výše citovaného usnesení rozšířeného senátu je nicméně zřejmé, že povinnost zabývat se tím, zda výše ukládané pokuty není s přihlédnutím k osobním poměrům pachatele správního deliktu (přestupku) nepřiměřená, je povinností správního orgánu za všech okolností. … Jinak řečeno, správní orgán nesmí rezignovat na alespoň elementární zjištění příjmových a majetkových poměrů obviněného z přestupku, není však povinen provádět v tomto směru rozsáhlé zjišťování; je naopak na obviněném z přestupku, aby byl iniciativní a sám tyto své poměry vyjevil a doložil.</w:t>
      </w:r>
    </w:p>
    <w:p w14:paraId="3656F63A"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Majetkové poměry stěžovatelky tedy městský úřad vůbec nezkoumal. Neučinil tak ani žalovaný, který se k problematice výše ukládané pokuty nevyjádřil vůbec. Fakt, že se stěžovatelka zhodnocení svých příjmových a majetkových poměrů explicitně nedovolávala, je z důvodů výše vyložených irelevantní.</w:t>
      </w:r>
    </w:p>
    <w:p w14:paraId="4130EDA1"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Nejvyšší správní soud zde poukazuje na fakt, že podle jeho ustálené rozhodovací praxe tvoří řízení před prvostupňovým správním orgánem a odvolacím orgánem jeden celek. Projevem této zásady jednoty správního řízení je jednak to, že odvolací správní orgán může odstranit vady odůvodnění prvostupňového správního orgánu tím, že prvoinstanční rozhodnutí </w:t>
      </w:r>
      <w:r w:rsidRPr="003C21EE">
        <w:rPr>
          <w:rFonts w:ascii="Times New Roman" w:hAnsi="Times New Roman"/>
          <w:sz w:val="24"/>
          <w:szCs w:val="24"/>
        </w:rPr>
        <w:lastRenderedPageBreak/>
        <w:t xml:space="preserve">doplní či koriguje svým odůvodněním, jednak to, že není nezbytné, aby se odvolací správní orgán podrobně vypořádával s otázkami, které již byly dostatečně zodpovězeny správním orgánem prvostupňovým, pokud se s jejich posouzením ztotožňuje (…). Není proto pochybením, pokud je rozhodnutí o odvolání stručnější, jestliže je z něj zřejmé, že se odvolací orgán zcela ztotožnil se závěry prvostupňového orgánu, a na tyto závěry konkrétně odkáže. </w:t>
      </w:r>
    </w:p>
    <w:p w14:paraId="0D191C2C"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Za přezkoumatelné lze považovat pouze závěry žalovaného vztahující se k požadavku stěžovatelky na nařízení ústního jednání v řízení před prvoinstančním správním orgánem (…); ve zbytku jde pouze o obecné floskule, bez jakékoli snahy konkrétně zareagovat na odvolací argumentaci. Jelikož však stěžovatelka v žalobě přímo nezpochybnila svou odpovědnost za spáchání přestupku, nebyl postup krajského soudu, který (nesprávně) aproboval přezkoumatelnost odůvodnění žalobou napadeného rozhodnutí jako celku, (dalším) důvodem pro zrušení napadeného rozsudku. Krajskému soudu lze přisvědčit v tom, že stěžovatelka samotné spáchání postihovaného skutku explicitně nerozporovala, z čehož krajský soud logicky dovodil, že s postihem za skutek, jenž jí byl kladen za vinu, byla srozuměna a nebyl tedy povinen se kvalitou tomu odpovídající části odůvodnění rozhodnutí žalovaného zabývat. </w:t>
      </w:r>
    </w:p>
    <w:p w14:paraId="175A7FEE"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Krajský soud přiléhavě poukázal na § 80 odst. 2 přestupkového zákona, podle kterého nařídí správní orgán ústní jednání na požádání obviněného, je-li to nezbytné k uplatnění jeho práv; jinak návrh zamítne usnesením, které se oznamuje pouze obviněnému. V posuzovaném případě podala stěžovatelka žádost o nařízení ústního jednání dne 28. 5. 2021, v níž pouze uvedla, že žádá o nařízení ústního projednání věci, a to nejdříve na září tohoto roku (2021 - pozn. NSS). Městský úřad žádost zamítl usnesením ze dne 8. 6. 2021 s odůvodněním, že správní spis neobsahoval žádné nové skutečnosti, stěžovatelka nepovolenou stavbu dokončila, během posledních měsíců nenahlížela do spisu a nenavrhovala žádné nové důkazy ani nevylíčila nové skutečnosti. Městský úřad proto neměl za potřebné ve věci nařizovat ústní projednání, a to i s přihlédnutím ke skutečnosti, že se jednalo již o druhé projednání věci poté, co bylo jeho první rozhodnutí v odvolacím řízení zrušeno. Krajský soud k této problematice odkázal na ustálenou judikaturu Nejvyššího správního soudu, z níž vyplývá, že nařízení ústního jednání není obligatorní ani v případě, že se toho účastník řízení výslovně domáhá. V tomto kontextu správně dovodil, že pokud stěžovatelka v samotném návrhu na nařízení ústního jednání ani v následně podaném odvolání a žalobě neuvedla žádné skutečnosti, které při ústním jednání chtěla prezentovat, je zásah do jejích procesních práv nanejvýš hypotetický. Stejně ostatně stěžovatelka postupovala i v kasační stížnosti, kdy se omezila na obecné výtky týkající se omezení jejího práva na obhajobu, aniž by však uvedla (i) konkrétní skutečnosti, které chtěla na ústním jednání uplatnit a (</w:t>
      </w:r>
      <w:proofErr w:type="spellStart"/>
      <w:r w:rsidRPr="003C21EE">
        <w:rPr>
          <w:rFonts w:ascii="Times New Roman" w:hAnsi="Times New Roman"/>
          <w:sz w:val="24"/>
          <w:szCs w:val="24"/>
        </w:rPr>
        <w:t>ii</w:t>
      </w:r>
      <w:proofErr w:type="spellEnd"/>
      <w:r w:rsidRPr="003C21EE">
        <w:rPr>
          <w:rFonts w:ascii="Times New Roman" w:hAnsi="Times New Roman"/>
          <w:sz w:val="24"/>
          <w:szCs w:val="24"/>
        </w:rPr>
        <w:t>) proč mohly být uplatněny pouze na tomto jednání (nikoliv cestou písemného podání). Lze proto uzavřít, že krajský soud nepochybil, akceptoval-li popsaný procesní postup v řízení před prvoinstančním správním orgánem.</w:t>
      </w:r>
    </w:p>
    <w:p w14:paraId="549866F1" w14:textId="05EA8CEE" w:rsidR="006E7CB3" w:rsidRPr="007C0244" w:rsidRDefault="003C21EE" w:rsidP="003C21EE">
      <w:pPr>
        <w:spacing w:after="0"/>
        <w:ind w:firstLine="708"/>
        <w:jc w:val="both"/>
        <w:rPr>
          <w:rFonts w:ascii="Times New Roman" w:hAnsi="Times New Roman"/>
          <w:sz w:val="24"/>
          <w:szCs w:val="24"/>
          <w:highlight w:val="yellow"/>
        </w:rPr>
      </w:pPr>
      <w:r w:rsidRPr="003C21EE">
        <w:rPr>
          <w:rFonts w:ascii="Times New Roman" w:hAnsi="Times New Roman"/>
          <w:sz w:val="24"/>
          <w:szCs w:val="24"/>
        </w:rPr>
        <w:t xml:space="preserve">Předchozí procesní pasivitu stěžovatelky pak zmínil pouze v tom smyslu, že není zřejmé, co konkrétně chce na nařízeném jednání prezentovat, a to za situace, kdy byla dosud spíše pasivní. Jakkoli tato dílčí úvaha vyznívá poněkud </w:t>
      </w:r>
      <w:proofErr w:type="spellStart"/>
      <w:r w:rsidRPr="003C21EE">
        <w:rPr>
          <w:rFonts w:ascii="Times New Roman" w:hAnsi="Times New Roman"/>
          <w:sz w:val="24"/>
          <w:szCs w:val="24"/>
        </w:rPr>
        <w:t>apodikticky</w:t>
      </w:r>
      <w:proofErr w:type="spellEnd"/>
      <w:r w:rsidRPr="003C21EE">
        <w:rPr>
          <w:rFonts w:ascii="Times New Roman" w:hAnsi="Times New Roman"/>
          <w:sz w:val="24"/>
          <w:szCs w:val="24"/>
        </w:rPr>
        <w:t xml:space="preserve"> (a sama o sobě by jako důvod pro odmítnutí nařízení ústního jednání nepostačovala), jistou racionalitu jí upřít nelze.</w:t>
      </w:r>
    </w:p>
    <w:p w14:paraId="75B2041D" w14:textId="001D1917" w:rsidR="00A73089" w:rsidRPr="003C21EE" w:rsidRDefault="003C21EE" w:rsidP="00FC485B">
      <w:pPr>
        <w:pStyle w:val="StylNadpis4Ped6bZa6b"/>
        <w:ind w:left="360"/>
      </w:pPr>
      <w:bookmarkStart w:id="5" w:name="_Toc212809705"/>
      <w:r w:rsidRPr="003C21EE">
        <w:lastRenderedPageBreak/>
        <w:t>Apelační princip, povinnost součinnosti dotčeného orgánu</w:t>
      </w:r>
      <w:bookmarkEnd w:id="5"/>
    </w:p>
    <w:p w14:paraId="4954C133" w14:textId="3D2C7C2A" w:rsidR="002C4F82" w:rsidRPr="003C21EE" w:rsidRDefault="003C21EE" w:rsidP="002C4F82">
      <w:pPr>
        <w:spacing w:after="0"/>
        <w:jc w:val="both"/>
        <w:rPr>
          <w:rFonts w:ascii="Times New Roman" w:hAnsi="Times New Roman"/>
          <w:b/>
          <w:sz w:val="24"/>
          <w:szCs w:val="24"/>
        </w:rPr>
      </w:pPr>
      <w:bookmarkStart w:id="6" w:name="_Toc52530483"/>
      <w:r w:rsidRPr="003C21EE">
        <w:rPr>
          <w:rFonts w:ascii="Times New Roman" w:hAnsi="Times New Roman"/>
          <w:b/>
          <w:sz w:val="24"/>
          <w:szCs w:val="24"/>
        </w:rPr>
        <w:t>rozsudek Krajského soudu v Brně č. j. 29 A 13/2024 – 164 ze dne 30. 7. 2024</w:t>
      </w:r>
      <w:r w:rsidR="004318FF" w:rsidRPr="003C21EE">
        <w:rPr>
          <w:rFonts w:ascii="Times New Roman" w:hAnsi="Times New Roman"/>
          <w:b/>
          <w:sz w:val="24"/>
          <w:szCs w:val="24"/>
        </w:rPr>
        <w:t xml:space="preserve"> </w:t>
      </w:r>
      <w:r w:rsidR="002C4F82" w:rsidRPr="003C21EE">
        <w:rPr>
          <w:rFonts w:ascii="Times New Roman" w:hAnsi="Times New Roman"/>
          <w:b/>
          <w:sz w:val="24"/>
          <w:szCs w:val="24"/>
        </w:rPr>
        <w:t>(</w:t>
      </w:r>
      <w:r w:rsidRPr="003C21EE">
        <w:rPr>
          <w:rFonts w:ascii="Times New Roman" w:hAnsi="Times New Roman"/>
          <w:b/>
          <w:sz w:val="24"/>
          <w:szCs w:val="24"/>
        </w:rPr>
        <w:t>D438</w:t>
      </w:r>
      <w:r w:rsidR="002C4F82" w:rsidRPr="003C21EE">
        <w:rPr>
          <w:rFonts w:ascii="Times New Roman" w:hAnsi="Times New Roman"/>
          <w:b/>
          <w:sz w:val="24"/>
          <w:szCs w:val="24"/>
        </w:rPr>
        <w:t>)</w:t>
      </w:r>
      <w:bookmarkEnd w:id="6"/>
      <w:r w:rsidRPr="003C21EE">
        <w:rPr>
          <w:rStyle w:val="Znakapoznpodarou"/>
          <w:rFonts w:ascii="Times New Roman" w:hAnsi="Times New Roman"/>
          <w:b/>
          <w:sz w:val="24"/>
          <w:szCs w:val="24"/>
        </w:rPr>
        <w:t xml:space="preserve"> </w:t>
      </w:r>
      <w:r w:rsidRPr="003C21EE">
        <w:rPr>
          <w:rStyle w:val="Znakapoznpodarou"/>
          <w:rFonts w:ascii="Times New Roman" w:hAnsi="Times New Roman"/>
          <w:b/>
          <w:sz w:val="24"/>
          <w:szCs w:val="24"/>
        </w:rPr>
        <w:footnoteReference w:id="2"/>
      </w:r>
    </w:p>
    <w:p w14:paraId="53849452" w14:textId="77777777" w:rsidR="002C4F82" w:rsidRPr="003C21EE" w:rsidRDefault="002C4F82" w:rsidP="00740047">
      <w:pPr>
        <w:spacing w:after="120"/>
        <w:jc w:val="both"/>
        <w:rPr>
          <w:rFonts w:ascii="Times New Roman" w:hAnsi="Times New Roman"/>
          <w:b/>
          <w:sz w:val="24"/>
          <w:szCs w:val="24"/>
        </w:rPr>
      </w:pPr>
      <w:r w:rsidRPr="003C21EE">
        <w:rPr>
          <w:rFonts w:ascii="Times New Roman" w:hAnsi="Times New Roman"/>
          <w:b/>
          <w:sz w:val="24"/>
          <w:szCs w:val="24"/>
        </w:rPr>
        <w:t>vybrané části judikátu:</w:t>
      </w:r>
    </w:p>
    <w:p w14:paraId="3DCEF817"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Krajský úřad tedy neprovedl přezkum závazného stanoviska proto, že námitky proti němu nebyly vzneseny v rámci odvolání, ale v reakci na seznámení žalobce – odvolatele s tímto stanoviskem v průběhu odvolacího řízení. Stručné a obecní vyjádření k námitkám žalobce nelze svým obsahem považovat za potvrzení stanoviska magistrátu. </w:t>
      </w:r>
    </w:p>
    <w:p w14:paraId="48106F5C"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Obdobný případ řešil Nejvyšší správní soud v rozsudku ze dne 18. 4. 2024, č.j. 9 As 52/2024- 32. I v tomto případě šlo o závazné stanovisko vydané až v odvolacím řízení, žalobkyně se však po seznámení s podklady podle §36 odst. 3 správního řádu k tomuto novému závaznému stanovisku nevyjádřila. Až v žalobě a rovněž v kasační stížnosti vyslovila názor, že odvolací orgán měl vzhledem k existenci nového závazného stanoviska rozhodnutí stavebního úřadu zrušit, aby proti novému rozhodnutí, a tedy i závaznému stanovisku mohla uplatnil odvolací námitky. Možnost vyjádření k podkladům rozhodnutí podle §36 odst. 3 správního řádu pokládala za nedostatečnou ochranu svých práv. </w:t>
      </w:r>
    </w:p>
    <w:p w14:paraId="398CF091"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Nejvyšší správní soud se v citovaném rozsudku neztotožnil s názorem, že v případě vydání nového závazného stanoviska je nutno rozhodnutí stavebního úřadu zrušit. Konstatoval, že „[ú]činné ochrany práv proti případnému zásahu, jenž by měl základ v závazném stanovisku předloženém teprve v odvolacím řízení, se lze domoci již v jeho průběhu. “ Následně uvedl, že „[b]</w:t>
      </w:r>
      <w:proofErr w:type="spellStart"/>
      <w:r w:rsidRPr="003C21EE">
        <w:rPr>
          <w:rFonts w:ascii="Times New Roman" w:hAnsi="Times New Roman"/>
          <w:sz w:val="24"/>
          <w:szCs w:val="24"/>
        </w:rPr>
        <w:t>ylo-li</w:t>
      </w:r>
      <w:proofErr w:type="spellEnd"/>
      <w:r w:rsidRPr="003C21EE">
        <w:rPr>
          <w:rFonts w:ascii="Times New Roman" w:hAnsi="Times New Roman"/>
          <w:sz w:val="24"/>
          <w:szCs w:val="24"/>
        </w:rPr>
        <w:t xml:space="preserve"> v průběhu odvolacího řízení vydáno závazné stanovisko dotčeného orgánu prvního stupně, pak je odvolací správní orgán, který z něj vychází ve svém rozhodnutí, povinen nejen dát účastníku řízení možnost vyjádřit se k tomuto podkladu rozhodnutí podle § 36 odst. 3 správního řádu, nýbrž na jeho případné vyjádření, které směřuje proti obsahu závazného stanoviska, také reagovat způsobem odpovídajícím uplatnění takovéto námitky v odvolání podle § 149 odst. 7 správního řádu. Z toho vyplývá jeho povinnost vyžádat si za analogického použití tohoto ustanovení potvrzení nebo změnu závazného stanoviska od správního orgánu nadřízeného správnímu orgánu příslušnému k vydání závazného stanoviska.“ </w:t>
      </w:r>
    </w:p>
    <w:p w14:paraId="6EF5C3D7"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 žalovaný tímto způsobem postupoval, vyžádal si od nadřízeného oránu potvrzení nebo změnu závazného stanoviska, nadřízený orgán však tento postup, jak je již výš uvedeno, odmítl. Ve shodě se žalobcem vyslovil názor, že žalovaný má rozhodnutí stavebního úřadu zrušit. Zdejší soud se s tímto názorem neztotožňuje, nicméně je zřejmé, že práva žalobce byla porušena, neboť na základě jeho vyjádření k podkladům rozhodnutí, tedy k novému závaznému stanovisku, krajský úřad, ač ho o to žalovaný požádal, neprovedl změnu nebo potvrzení předloženého závazného stanoviska. </w:t>
      </w:r>
    </w:p>
    <w:p w14:paraId="003A05E9" w14:textId="6566EEC9" w:rsidR="00682005" w:rsidRPr="007C0244" w:rsidRDefault="003C21EE" w:rsidP="003C21EE">
      <w:pPr>
        <w:spacing w:after="0"/>
        <w:ind w:firstLine="708"/>
        <w:jc w:val="both"/>
        <w:rPr>
          <w:rFonts w:ascii="Times New Roman" w:hAnsi="Times New Roman"/>
          <w:sz w:val="24"/>
          <w:szCs w:val="24"/>
          <w:highlight w:val="yellow"/>
        </w:rPr>
      </w:pPr>
      <w:r w:rsidRPr="003C21EE">
        <w:rPr>
          <w:rFonts w:ascii="Times New Roman" w:hAnsi="Times New Roman"/>
          <w:sz w:val="24"/>
          <w:szCs w:val="24"/>
        </w:rPr>
        <w:t>Z uvedeného rozsudku rovněž vyplývá, že pokud vedlejší účastník z prvostupňového řízení podá odvolání, stává se v jistém smyslu žadatelem, neboť odvolací orgán rozhoduje o jeho podání – odvolání. Žadateli se i v řízení s velkým počtem účastníků doručuje vždy jednotlivě.</w:t>
      </w:r>
    </w:p>
    <w:p w14:paraId="4D016F6B" w14:textId="75DBAC32" w:rsidR="00C72EC3" w:rsidRPr="003C21EE" w:rsidRDefault="003C21EE" w:rsidP="00FC485B">
      <w:pPr>
        <w:pStyle w:val="StylNadpis4Ped6bZa6b"/>
        <w:ind w:left="360"/>
      </w:pPr>
      <w:bookmarkStart w:id="7" w:name="_Toc212809706"/>
      <w:r w:rsidRPr="003C21EE">
        <w:lastRenderedPageBreak/>
        <w:t>Úspěšný nesouhlas orgánu státní památkové péče s dodatečným povolením stavby</w:t>
      </w:r>
      <w:bookmarkEnd w:id="7"/>
    </w:p>
    <w:p w14:paraId="1D7B9FD2" w14:textId="0010A20C" w:rsidR="003C21EE" w:rsidRPr="003C21EE" w:rsidRDefault="001012A7" w:rsidP="003C21EE">
      <w:pPr>
        <w:spacing w:after="0"/>
        <w:jc w:val="both"/>
        <w:rPr>
          <w:rFonts w:ascii="Times New Roman" w:hAnsi="Times New Roman"/>
          <w:b/>
          <w:sz w:val="24"/>
          <w:szCs w:val="24"/>
        </w:rPr>
      </w:pPr>
      <w:r w:rsidRPr="003C21EE">
        <w:rPr>
          <w:rFonts w:ascii="Times New Roman" w:hAnsi="Times New Roman"/>
          <w:b/>
          <w:sz w:val="24"/>
          <w:szCs w:val="24"/>
        </w:rPr>
        <w:t xml:space="preserve">Rozsudek </w:t>
      </w:r>
      <w:r w:rsidR="003C21EE" w:rsidRPr="003C21EE">
        <w:rPr>
          <w:rFonts w:ascii="Times New Roman" w:hAnsi="Times New Roman"/>
          <w:b/>
          <w:sz w:val="24"/>
          <w:szCs w:val="24"/>
        </w:rPr>
        <w:t>Krajského soudu v Hradci Králové č. j. 30 A 55/2024 – 64 ze dne 24. 1. 2025</w:t>
      </w:r>
      <w:r w:rsidRPr="003C21EE">
        <w:rPr>
          <w:rFonts w:ascii="Times New Roman" w:hAnsi="Times New Roman"/>
          <w:b/>
          <w:sz w:val="24"/>
          <w:szCs w:val="24"/>
        </w:rPr>
        <w:t xml:space="preserve"> (</w:t>
      </w:r>
      <w:r w:rsidR="003C21EE" w:rsidRPr="003C21EE">
        <w:rPr>
          <w:rFonts w:ascii="Times New Roman" w:hAnsi="Times New Roman"/>
          <w:b/>
          <w:sz w:val="24"/>
          <w:szCs w:val="24"/>
        </w:rPr>
        <w:t>D476</w:t>
      </w:r>
      <w:r w:rsidRPr="003C21EE">
        <w:rPr>
          <w:rFonts w:ascii="Times New Roman" w:hAnsi="Times New Roman"/>
          <w:b/>
          <w:sz w:val="24"/>
          <w:szCs w:val="24"/>
        </w:rPr>
        <w:t>)</w:t>
      </w:r>
      <w:r w:rsidR="003C21EE" w:rsidRPr="003C21EE">
        <w:rPr>
          <w:rStyle w:val="Znakapoznpodarou"/>
          <w:rFonts w:ascii="Times New Roman" w:hAnsi="Times New Roman"/>
          <w:b/>
          <w:sz w:val="24"/>
          <w:szCs w:val="24"/>
        </w:rPr>
        <w:footnoteReference w:id="3"/>
      </w:r>
    </w:p>
    <w:p w14:paraId="1739652A" w14:textId="77777777" w:rsidR="00C72EC3" w:rsidRPr="003C21EE" w:rsidRDefault="001012A7" w:rsidP="00FC485B">
      <w:pPr>
        <w:spacing w:after="120"/>
        <w:jc w:val="both"/>
        <w:rPr>
          <w:rFonts w:ascii="Times New Roman" w:hAnsi="Times New Roman"/>
          <w:b/>
          <w:sz w:val="24"/>
          <w:szCs w:val="24"/>
        </w:rPr>
      </w:pPr>
      <w:r w:rsidRPr="003C21EE">
        <w:rPr>
          <w:rFonts w:ascii="Times New Roman" w:hAnsi="Times New Roman"/>
          <w:b/>
          <w:sz w:val="24"/>
          <w:szCs w:val="24"/>
        </w:rPr>
        <w:t>vybrané části judikátu:</w:t>
      </w:r>
    </w:p>
    <w:p w14:paraId="399AAFF0"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přezkum závazného stanoviska zahrnuje rovněž posouzení, zda jeho obsah, a to zejména v případě negativního závazného stanoviska, alespoň v základní rovině odpovídá požadavkům kladeným na odůvodnění správního rozhodnutí.</w:t>
      </w:r>
    </w:p>
    <w:p w14:paraId="7E5C508B"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Uvedená kulturní památka představuje areál, v němž je doloženo pravěké osídlení, raně středověká fortifikovaná struktura sestávající ze sídlišť a pohřebišť, středověké a novověké osídlení. Tento prostor je považován za významnou archeologickou lokalitu. V oblasti Prachovského sedla lze i s ohledem na již uskutečněné nálezy důvodně předpokládat přítomnost movitých i nemovitých prvků archeologického dědictví zejména z doby raného a vrcholného středověku a dále z období prusko-rakouské války z roku 1866. Nejde ale pouze o „předměty pod zemí“. Kulturně historická hodnota místa spočívá také v zachování vzhledu dotčené části jinak nezastavěné krajiny. …. Daná oblast nebyla zasažena ani jinou terén pozměňující činností. ... Také Národní památkový ústav akcentoval potřebu ochrany kulturně historických hodnot dotčené nemovité kulturní památky hradiště </w:t>
      </w:r>
      <w:proofErr w:type="spellStart"/>
      <w:r w:rsidRPr="003C21EE">
        <w:rPr>
          <w:rFonts w:ascii="Times New Roman" w:hAnsi="Times New Roman"/>
          <w:sz w:val="24"/>
          <w:szCs w:val="24"/>
        </w:rPr>
        <w:t>Prachov</w:t>
      </w:r>
      <w:proofErr w:type="spellEnd"/>
      <w:r w:rsidRPr="003C21EE">
        <w:rPr>
          <w:rFonts w:ascii="Times New Roman" w:hAnsi="Times New Roman"/>
          <w:sz w:val="24"/>
          <w:szCs w:val="24"/>
        </w:rPr>
        <w:t xml:space="preserve">, jakožto součásti historické vrstvy kulturní krajiny, a považoval za žádoucí stavbu odstranit. </w:t>
      </w:r>
    </w:p>
    <w:p w14:paraId="368AD3D7"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K odvolací námitce, podle níž prvoinstanční orgán sice popsal důležitost místa, ale opomněl uvést důvody, proč by stavba místo narušovala, nadřízený orgán konstatoval, že to vše vyplývá z kulturně historických hodnot lokality, jejichž popisu se městský úřad zevrubně věnoval. Nadřízený orgán připomněl, že mezi kulturně historické hodnoty hradiště </w:t>
      </w:r>
      <w:proofErr w:type="spellStart"/>
      <w:r w:rsidRPr="003C21EE">
        <w:rPr>
          <w:rFonts w:ascii="Times New Roman" w:hAnsi="Times New Roman"/>
          <w:sz w:val="24"/>
          <w:szCs w:val="24"/>
        </w:rPr>
        <w:t>Prachov</w:t>
      </w:r>
      <w:proofErr w:type="spellEnd"/>
      <w:r w:rsidRPr="003C21EE">
        <w:rPr>
          <w:rFonts w:ascii="Times New Roman" w:hAnsi="Times New Roman"/>
          <w:sz w:val="24"/>
          <w:szCs w:val="24"/>
        </w:rPr>
        <w:t xml:space="preserve"> patří především modelace terénu a dochované archeologické situace. V případě archeologických situací je jejich bezprostředním ohrožením výstavba přímo na nich nebo v jejich blízkém okolí. Co se týče konfigurace terénu, jednou z hlavních hodnot lokality je, že se v této části dochovala bez narušení zástavbou, stavba žalobkyně tak logicky narušuje tento cenný nezastavěný prostor. K odvolacím námitkám týkajícím se souladu stavby s platnou územně plánovací dokumentací nadřízený orgán poznamenal, že orgány státní památkové péče nejsou příslušné pro posouzení souladu stavby s územním plánem. Dodal nicméně, že stavba je v rozporu s územním plánem obce Holín. V reakci na odvolací námitku, že stavba zjevně nenarušuje krajinný ráz, nadřízený orgán dále uvedl, že ochrana krajinného rázu je prioritně v kompetenci orgánů ochrany životního prostředí, v daném případě AOPK. </w:t>
      </w:r>
    </w:p>
    <w:p w14:paraId="06EDB5F3"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Orgány památkové péče se tedy srozumitelně a dostatečně podrobně zabývaly všemi relevantními aspekty posuzované věci. Nadřízený orgán se zároveň řádně vypořádal s námitkami uplatněnými žalobkyní v odvolání proti rozhodnutí stavebního úřadu.</w:t>
      </w:r>
    </w:p>
    <w:p w14:paraId="6869F2C2"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Z výše podaného shrnutí obsahu závazných stanovisek je patrné, že orgány památkové péče vedle obecného popisu kulturně historických hodnot dané lokality také konkrétně vysvětlily, jakým způsobem stavba žalobkyně narušuje tyto hodnoty (stavba je umístěna ve významné archeologické lokalitě, navíc se jedná o jedinou stavbu v dosud nezastavěném prostoru, který je tak cenný i zachovalou konfigurací terénu).</w:t>
      </w:r>
    </w:p>
    <w:p w14:paraId="4392E141"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lastRenderedPageBreak/>
        <w:t>Závazné stanovisko Městského úřadu Jičín sice obsahuje mimo jiné také slovní spojení krajinný ráz, to je však použito především v rámci citace vyjádření Národního památkového ústavu, navíc z kontextu je zřejmé, že k užití uvedeného sousloví došlo v souvislosti s hodnocením kulturně historických hodnot dané lokality (při poukazu na zachování konfigurace terénu). Městský úřad Jičín zde tedy hodnotil přípustnost stavby z hlediska památkové péče, nikoliv z hlediska ochrany přírody a krajiny. K tomu jsou skutečně v daném případě příslušné jiné dotčené orgány (…), jak správně uvedl nadřízený orgán památkové péče ve svém závazném stanovisku.</w:t>
      </w:r>
    </w:p>
    <w:p w14:paraId="74D86037"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K souladu stavby s územně plánovací dokumentací se nadřízený orgán památkové péče vyjádřil v podstatě </w:t>
      </w:r>
      <w:proofErr w:type="spellStart"/>
      <w:r w:rsidRPr="003C21EE">
        <w:rPr>
          <w:rFonts w:ascii="Times New Roman" w:hAnsi="Times New Roman"/>
          <w:sz w:val="24"/>
          <w:szCs w:val="24"/>
        </w:rPr>
        <w:t>obiter</w:t>
      </w:r>
      <w:proofErr w:type="spellEnd"/>
      <w:r w:rsidRPr="003C21EE">
        <w:rPr>
          <w:rFonts w:ascii="Times New Roman" w:hAnsi="Times New Roman"/>
          <w:sz w:val="24"/>
          <w:szCs w:val="24"/>
        </w:rPr>
        <w:t xml:space="preserve"> </w:t>
      </w:r>
      <w:proofErr w:type="spellStart"/>
      <w:r w:rsidRPr="003C21EE">
        <w:rPr>
          <w:rFonts w:ascii="Times New Roman" w:hAnsi="Times New Roman"/>
          <w:sz w:val="24"/>
          <w:szCs w:val="24"/>
        </w:rPr>
        <w:t>dictum</w:t>
      </w:r>
      <w:proofErr w:type="spellEnd"/>
      <w:r w:rsidRPr="003C21EE">
        <w:rPr>
          <w:rFonts w:ascii="Times New Roman" w:hAnsi="Times New Roman"/>
          <w:sz w:val="24"/>
          <w:szCs w:val="24"/>
        </w:rPr>
        <w:t xml:space="preserve"> a v reakci na odvolací námitku žalobkyně. Vzhledem k tomu, že tato otázka se zcela míjí s nosnými důvody, na nichž jsou založena závazná stanoviska orgánů památkové péče, potažmo nyní napadené rozhodnutí žalovaného, nepovažoval krajský soud za nutné blíže se zabývat tím, zda stavba souvisí s hlavním funkčním využitím dané plochy stanoveným v územním plánu obce Holín, jak tvrdí žalobkyně. Irelevantní je také poukaz žalobkyně na konstatování Ministerstva životního prostředí, že stavba je svým stavebním řešením v krajině nepatrná a nenápadná. Orgány památkové péče blíže nehodnotily konkrétní podobu či velikost stavby, nevytýkaly jí například nevhodné rozměry. Nepřípustnost stavby shledaly z jiných důvodů.</w:t>
      </w:r>
    </w:p>
    <w:p w14:paraId="2BF00383"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Jak totiž plyne z odůvodnění zmíněného rozhodnutí Ministerstva kultury, hradiště </w:t>
      </w:r>
      <w:proofErr w:type="spellStart"/>
      <w:r w:rsidRPr="003C21EE">
        <w:rPr>
          <w:rFonts w:ascii="Times New Roman" w:hAnsi="Times New Roman"/>
          <w:sz w:val="24"/>
          <w:szCs w:val="24"/>
        </w:rPr>
        <w:t>Prachov</w:t>
      </w:r>
      <w:proofErr w:type="spellEnd"/>
      <w:r w:rsidRPr="003C21EE">
        <w:rPr>
          <w:rFonts w:ascii="Times New Roman" w:hAnsi="Times New Roman"/>
          <w:sz w:val="24"/>
          <w:szCs w:val="24"/>
        </w:rPr>
        <w:t xml:space="preserve"> bylo od roku 1963 kulturní památkou zapsanou v ÚSKP s rozsahem pouze na k. ú. </w:t>
      </w:r>
      <w:proofErr w:type="spellStart"/>
      <w:r w:rsidRPr="003C21EE">
        <w:rPr>
          <w:rFonts w:ascii="Times New Roman" w:hAnsi="Times New Roman"/>
          <w:sz w:val="24"/>
          <w:szCs w:val="24"/>
        </w:rPr>
        <w:t>xx</w:t>
      </w:r>
      <w:proofErr w:type="spellEnd"/>
      <w:r w:rsidRPr="003C21EE">
        <w:rPr>
          <w:rFonts w:ascii="Times New Roman" w:hAnsi="Times New Roman"/>
          <w:sz w:val="24"/>
          <w:szCs w:val="24"/>
        </w:rPr>
        <w:t>. Po provedení dalších nálezů, studiu literatury, letecké prospekce a odborných archeologických expertiz pak bylo zjištěno, že tato památka zasahuje i do dalších katastrálních území. Uvedené rozhodnutí Ministerstva kultury tedy nepodporuje stanovisko žalobkyně, naopak svědčí ve prospěch závěru orgánů památkové péče.</w:t>
      </w:r>
    </w:p>
    <w:p w14:paraId="31C370DD"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Z listin shromážděných orgány památkové péče tedy nepochybně plyne, že pozemek parc. č. XA v k. ú. </w:t>
      </w:r>
      <w:proofErr w:type="spellStart"/>
      <w:r w:rsidRPr="003C21EE">
        <w:rPr>
          <w:rFonts w:ascii="Times New Roman" w:hAnsi="Times New Roman"/>
          <w:sz w:val="24"/>
          <w:szCs w:val="24"/>
        </w:rPr>
        <w:t>xx</w:t>
      </w:r>
      <w:proofErr w:type="spellEnd"/>
      <w:r w:rsidRPr="003C21EE">
        <w:rPr>
          <w:rFonts w:ascii="Times New Roman" w:hAnsi="Times New Roman"/>
          <w:sz w:val="24"/>
          <w:szCs w:val="24"/>
        </w:rPr>
        <w:t xml:space="preserve"> je součástí nemovité kulturní památky hradiště </w:t>
      </w:r>
      <w:proofErr w:type="spellStart"/>
      <w:r w:rsidRPr="003C21EE">
        <w:rPr>
          <w:rFonts w:ascii="Times New Roman" w:hAnsi="Times New Roman"/>
          <w:sz w:val="24"/>
          <w:szCs w:val="24"/>
        </w:rPr>
        <w:t>Prachov</w:t>
      </w:r>
      <w:proofErr w:type="spellEnd"/>
      <w:r w:rsidRPr="003C21EE">
        <w:rPr>
          <w:rFonts w:ascii="Times New Roman" w:hAnsi="Times New Roman"/>
          <w:sz w:val="24"/>
          <w:szCs w:val="24"/>
        </w:rPr>
        <w:t xml:space="preserve">. </w:t>
      </w:r>
    </w:p>
    <w:p w14:paraId="31CD9192"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 xml:space="preserve">Jak již soud vyložil výše, není pravdou, že by se orgány památkové péče zabývaly stavbou pouze z hlediska narušení krajinného rázu nebo z hlediska jejího souladu s územně plánovací dokumentací. Úvahy orgánů památkové péče vychází z řádně zjištěných skutečností a správně vymezeného referenčního rámce kritérií posuzování (ne)přípustnosti staveb v dané lokalitě, která jsou následně aplikována na konkrétní skutkový stav. Jejich úvahy jsou logické, neodporují si a krajský soud se s nimi ztotožňuje a v plném rozsahu na ně odkazuje. </w:t>
      </w:r>
    </w:p>
    <w:p w14:paraId="36566C3A"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Žalovaný nebyl povinen vymýšlet nové originální protiargumenty k námitkám žalobkyně, neboť ty již vypořádal k tomu odborně vybavený dotčený orgán (…). Stanoviska orgánů památkové péče jsou zároveň jasná a plynou z nich logické závěry. Nebyl tedy důvod k tomu, aby žalovaný požadoval po nadřízeném orgánu památkové péče revizi či doplnění jeho závazného stanoviska. Za těchto okolností žalovaný dostál požadavkům kladeným na přezkoumatelnost jeho rozhodnutí, pokud odkázal na tato závazná stanoviska.</w:t>
      </w:r>
    </w:p>
    <w:p w14:paraId="2C82ACE9" w14:textId="77777777" w:rsidR="003C21EE" w:rsidRPr="003C21EE"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t>Nadřízený orgán památkové péče v reakci na příslušnou odvolací námitku uvedl, že toto sdělení vnímá jako informaci o „historickém“ vývoji stavby a jejího využití, nelze ji brát jako hlavní důvod pro nevyhovění žádosti o dodatečné povolení stavby. Krajský soud s uvedeným hodnocením nadřízeného orgánu památkové péče souhlasí. … Dovozovat z uvedené „historické“ poznámky Městského úřadu Jičín věcnou nesprávnost jeho závazného stanoviska, potažmo nepřezkoumatelnost napadeného rozhodnutí žalovaného, zcela jistě nelze.</w:t>
      </w:r>
    </w:p>
    <w:p w14:paraId="3631CB43" w14:textId="50C236C1" w:rsidR="00DB3AC2" w:rsidRPr="00F10AC6" w:rsidRDefault="003C21EE" w:rsidP="003C21EE">
      <w:pPr>
        <w:spacing w:after="0"/>
        <w:ind w:firstLine="708"/>
        <w:jc w:val="both"/>
        <w:rPr>
          <w:rFonts w:ascii="Times New Roman" w:hAnsi="Times New Roman"/>
          <w:sz w:val="24"/>
          <w:szCs w:val="24"/>
        </w:rPr>
      </w:pPr>
      <w:r w:rsidRPr="003C21EE">
        <w:rPr>
          <w:rFonts w:ascii="Times New Roman" w:hAnsi="Times New Roman"/>
          <w:sz w:val="24"/>
          <w:szCs w:val="24"/>
        </w:rPr>
        <w:lastRenderedPageBreak/>
        <w:t xml:space="preserve">V průběhu správního řízení již bylo vydáno (a nadřízeným orgánem potvrzeno) závazné stanovisko, které znemožňovalo žádosti žalobkyně o dodatečné povolení stavby vyhovět, konkrétně výše rozebírané závazné stanovisko orgánu památkové péče. S ohledem na § 149 odst. 6 správního řádu tak bylo nezbytné žádost žalobkyně zamítnout (…). Nebylo proto nutné, aby žalovaný vyčkal na řádné vydání závazného stanoviska orgánu ochrany přírody a krajiny, případně také navazujícího závazného stanoviska nadřízeného dotčeného orgánu, neboť tato závazná stanoviska již nemohla nic změnit na výsledku správního řízení. I kdyby nakonec orgány ochrany přírody a krajiny dospěly k závěru, že stavba je z hlediska jimi chráněných zájmů přípustná, žalovaný by stejně </w:t>
      </w:r>
      <w:r w:rsidRPr="00F10AC6">
        <w:rPr>
          <w:rFonts w:ascii="Times New Roman" w:hAnsi="Times New Roman"/>
          <w:sz w:val="24"/>
          <w:szCs w:val="24"/>
        </w:rPr>
        <w:t>musel s odkazem na závazná stanoviska orgánů památkové péče odvolání žalobkyně zamítnout.</w:t>
      </w:r>
    </w:p>
    <w:p w14:paraId="2F4F99BD" w14:textId="10FE5ABB" w:rsidR="00840BEB" w:rsidRPr="00F10AC6" w:rsidRDefault="00F10AC6" w:rsidP="00FC485B">
      <w:pPr>
        <w:pStyle w:val="StylNadpis4Ped6bZa6b"/>
        <w:ind w:left="360"/>
      </w:pPr>
      <w:bookmarkStart w:id="8" w:name="_Toc212809707"/>
      <w:r w:rsidRPr="00F10AC6">
        <w:t>Forma posouzení základní ideové podoby stavebního záměru</w:t>
      </w:r>
      <w:bookmarkEnd w:id="8"/>
    </w:p>
    <w:p w14:paraId="1BC9BDAE" w14:textId="2C5D91D1" w:rsidR="00840BEB" w:rsidRPr="00F10AC6" w:rsidRDefault="00840BEB" w:rsidP="00840BEB">
      <w:pPr>
        <w:spacing w:after="0"/>
        <w:jc w:val="both"/>
        <w:rPr>
          <w:rFonts w:ascii="Times New Roman" w:hAnsi="Times New Roman"/>
          <w:b/>
          <w:sz w:val="24"/>
          <w:szCs w:val="24"/>
        </w:rPr>
      </w:pPr>
      <w:r w:rsidRPr="00F10AC6">
        <w:rPr>
          <w:rFonts w:ascii="Times New Roman" w:hAnsi="Times New Roman"/>
          <w:b/>
          <w:sz w:val="24"/>
          <w:szCs w:val="24"/>
        </w:rPr>
        <w:t xml:space="preserve">Rozsudek </w:t>
      </w:r>
      <w:r w:rsidR="00F10AC6" w:rsidRPr="00F10AC6">
        <w:rPr>
          <w:rFonts w:ascii="Times New Roman" w:hAnsi="Times New Roman"/>
          <w:b/>
          <w:sz w:val="24"/>
          <w:szCs w:val="24"/>
        </w:rPr>
        <w:t xml:space="preserve">Nejvyššího správního soudu č. j. 8 As 62/2024 – 29 ze dne 29. 4. 2025 </w:t>
      </w:r>
      <w:r w:rsidRPr="00F10AC6">
        <w:rPr>
          <w:rFonts w:ascii="Times New Roman" w:hAnsi="Times New Roman"/>
          <w:b/>
          <w:sz w:val="24"/>
          <w:szCs w:val="24"/>
        </w:rPr>
        <w:t>(</w:t>
      </w:r>
      <w:r w:rsidR="00F10AC6" w:rsidRPr="00F10AC6">
        <w:rPr>
          <w:rFonts w:ascii="Times New Roman" w:hAnsi="Times New Roman"/>
          <w:b/>
          <w:sz w:val="24"/>
          <w:szCs w:val="24"/>
        </w:rPr>
        <w:t>B369</w:t>
      </w:r>
      <w:r w:rsidR="00C14F65" w:rsidRPr="00F10AC6">
        <w:rPr>
          <w:rFonts w:ascii="Times New Roman" w:hAnsi="Times New Roman"/>
          <w:b/>
          <w:sz w:val="24"/>
          <w:szCs w:val="24"/>
        </w:rPr>
        <w:t>)</w:t>
      </w:r>
    </w:p>
    <w:p w14:paraId="257E83C5" w14:textId="77777777" w:rsidR="00840BEB" w:rsidRPr="00F10AC6" w:rsidRDefault="00840BEB" w:rsidP="00FC485B">
      <w:pPr>
        <w:spacing w:after="120"/>
        <w:jc w:val="both"/>
        <w:rPr>
          <w:rFonts w:ascii="Times New Roman" w:hAnsi="Times New Roman"/>
          <w:b/>
          <w:sz w:val="24"/>
          <w:szCs w:val="24"/>
        </w:rPr>
      </w:pPr>
      <w:r w:rsidRPr="00F10AC6">
        <w:rPr>
          <w:rFonts w:ascii="Times New Roman" w:hAnsi="Times New Roman"/>
          <w:b/>
          <w:sz w:val="24"/>
          <w:szCs w:val="24"/>
        </w:rPr>
        <w:t>vybrané části judikátu:</w:t>
      </w:r>
    </w:p>
    <w:p w14:paraId="7873A585"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Pokud by správní orgán I. stupně vydal závazné stanovisko a žalovaný jej nezákonně přezkoumával v odvolacím řízení, i když takové řízení nemělo být nikdy vedeno, tak by rozhodnutí žalovaného bylo nezákonné. Pro tuto nezákonnost by rozhodnutí žalovaného muselo být soudem zrušeno. Městský soud tak dostatečně nezohlednil, že rozhodnutí žalovaného je nadáno presumpcí správnosti, přičemž se v tomto rozhodnutí výslovně konstatuje, že správní orgán I. stupně vydal závazné stanovisko podle § 67 s. ř., tedy takové, které zasahuje do práv stěžovatelky. ... Pokud by to bylo opravdu tak, že takové řízení nemělo být vůbec vedeno, tak by městskému soudu nezbyla jiná možnost než věc meritorně projednat a rozhodnutí žalovaného pro nezákonnost zrušit. Městský soud nemohl v této situaci žalobu odmítnout, protože napadený akt byl žalovaným formálně jako rozhodnutí vydán.</w:t>
      </w:r>
    </w:p>
    <w:p w14:paraId="07A1E8AA"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Pokud by soud shledal rozhodnutí žalovaného za obsahově vadné, těžko by mohl jeho rozhodnutí zrušit a vrátit mu věc k dalšímu řízení, aby věc posoudil jinak za situace, kdy k takovému věcnému posouzení není ze zákona žalovaný oprávněn. Podle Nejvyššího správního soudu by se proto jednalo o natolik závažnou vadu řízení, ke které by bylo třeba výjimečně přihlížet i bez výslovné žalobní námitky.</w:t>
      </w:r>
    </w:p>
    <w:p w14:paraId="59DECFBD" w14:textId="69677349" w:rsidR="00840BEB"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 xml:space="preserve">Nad rámec výše uvedeného NSS poukazuje na vývoj judikatury ohledně toho, zda má v případě ideového záměru správní orgán I. stupně vydat závazné stanovisko formou správního rozhodnutí. V rozsudku z 16. 12. 2020, čj. 2 As 234/2020-21, nebo v navazujícím rozsudku z 11. 6. 2024, čj. 3 As 283/2020-36, totiž Nejvyšší správní soud posuzoval, zda je u určitého záměru dána pravomoc stavebního úřadu, a to s ohledem na to, jak je podrobná dokumentace či žádost sama. Konstatoval, že pokud žádost neobsahuje náležitosti (…), tedy má podobu např. ideového záměru, hmotové studie, lze takovou žádost podle § 14 odst. 1 či 2 zákona o památkové péči posoudit, pokud splňuje obecné požadavky určitosti žádosti podle správního řádu. Následně Nejvyšší správní soud s ohledem na odbornou literaturu dospěl k závěru, že k takové žádosti orgán památkové péče vydá závazné stanovisko formou správního rozhodnutí, neboť není dána navazující rozhodovací pravomoc stavebního úřadu. V navazujícím rozsudku Nejvyšší správní soud uvedl, že: Účelem takového postupu může být typicky to, že žadatel získá prvotní posouzení přípustnosti určitého typově vymezeného záměru v dané památkové zóně ještě před tím, než vynaloží další náklady na jeho přípravu (zpracování projektové </w:t>
      </w:r>
      <w:r w:rsidRPr="00F10AC6">
        <w:rPr>
          <w:rFonts w:ascii="Times New Roman" w:hAnsi="Times New Roman"/>
          <w:sz w:val="24"/>
          <w:szCs w:val="24"/>
        </w:rPr>
        <w:lastRenderedPageBreak/>
        <w:t>dokumentace atd.). Žadatel může případně také přizpůsobit svůj další postup podmínkám, které je orgán státní památkové péče oprávněn stanovit v závazném stanovisku dle § 14 odst. 3 památkového zákona.</w:t>
      </w:r>
    </w:p>
    <w:p w14:paraId="53D47215" w14:textId="279F1823" w:rsidR="00E83B8F" w:rsidRPr="00F10AC6" w:rsidRDefault="00F10AC6" w:rsidP="00FC485B">
      <w:pPr>
        <w:pStyle w:val="StylNadpis4Ped6bZa6b"/>
        <w:ind w:left="360"/>
      </w:pPr>
      <w:bookmarkStart w:id="9" w:name="_Toc212809708"/>
      <w:r w:rsidRPr="00F10AC6">
        <w:t>Apelační princip, povinnost součinnosti dotčeného orgánu</w:t>
      </w:r>
      <w:bookmarkEnd w:id="9"/>
    </w:p>
    <w:p w14:paraId="1829631A" w14:textId="3A763603" w:rsidR="00E83B8F" w:rsidRPr="00F10AC6" w:rsidRDefault="00E2442B" w:rsidP="00E83B8F">
      <w:pPr>
        <w:spacing w:after="0"/>
        <w:jc w:val="both"/>
        <w:rPr>
          <w:rFonts w:ascii="Times New Roman" w:hAnsi="Times New Roman"/>
          <w:b/>
          <w:sz w:val="24"/>
          <w:szCs w:val="24"/>
        </w:rPr>
      </w:pPr>
      <w:r w:rsidRPr="00F10AC6">
        <w:rPr>
          <w:rFonts w:ascii="Times New Roman" w:hAnsi="Times New Roman"/>
          <w:b/>
          <w:sz w:val="24"/>
          <w:szCs w:val="24"/>
        </w:rPr>
        <w:t xml:space="preserve">Rozsudek </w:t>
      </w:r>
      <w:r w:rsidR="00F10AC6" w:rsidRPr="00F10AC6">
        <w:rPr>
          <w:rFonts w:ascii="Times New Roman" w:hAnsi="Times New Roman"/>
          <w:b/>
          <w:sz w:val="24"/>
          <w:szCs w:val="24"/>
        </w:rPr>
        <w:t>Nejvyššího správního soudu č. j. 4 As 118/2024 – 117 ze dne 14. 3. 2025</w:t>
      </w:r>
      <w:r w:rsidRPr="00F10AC6">
        <w:rPr>
          <w:rFonts w:ascii="Times New Roman" w:hAnsi="Times New Roman"/>
          <w:b/>
          <w:sz w:val="24"/>
          <w:szCs w:val="24"/>
        </w:rPr>
        <w:t xml:space="preserve"> </w:t>
      </w:r>
      <w:r w:rsidR="00E83B8F" w:rsidRPr="00F10AC6">
        <w:rPr>
          <w:rFonts w:ascii="Times New Roman" w:hAnsi="Times New Roman"/>
          <w:b/>
          <w:sz w:val="24"/>
          <w:szCs w:val="24"/>
        </w:rPr>
        <w:t>(</w:t>
      </w:r>
      <w:r w:rsidR="00F10AC6" w:rsidRPr="00F10AC6">
        <w:rPr>
          <w:rFonts w:ascii="Times New Roman" w:hAnsi="Times New Roman"/>
          <w:b/>
          <w:sz w:val="24"/>
          <w:szCs w:val="24"/>
        </w:rPr>
        <w:t>B337</w:t>
      </w:r>
      <w:r w:rsidR="00E83B8F" w:rsidRPr="00F10AC6">
        <w:rPr>
          <w:rFonts w:ascii="Times New Roman" w:hAnsi="Times New Roman"/>
          <w:b/>
          <w:sz w:val="24"/>
          <w:szCs w:val="24"/>
        </w:rPr>
        <w:t>)</w:t>
      </w:r>
    </w:p>
    <w:p w14:paraId="06CB9D43" w14:textId="77777777" w:rsidR="00E83B8F" w:rsidRPr="00F10AC6" w:rsidRDefault="00E83B8F" w:rsidP="00FC485B">
      <w:pPr>
        <w:spacing w:after="120"/>
        <w:jc w:val="both"/>
        <w:rPr>
          <w:rFonts w:ascii="Times New Roman" w:hAnsi="Times New Roman"/>
          <w:b/>
          <w:sz w:val="24"/>
          <w:szCs w:val="24"/>
        </w:rPr>
      </w:pPr>
      <w:r w:rsidRPr="00F10AC6">
        <w:rPr>
          <w:rFonts w:ascii="Times New Roman" w:hAnsi="Times New Roman"/>
          <w:b/>
          <w:sz w:val="24"/>
          <w:szCs w:val="24"/>
        </w:rPr>
        <w:t>vybrané části judikátu:</w:t>
      </w:r>
    </w:p>
    <w:p w14:paraId="46C79760"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 xml:space="preserve">Z napadeného rozsudku je zřetelně patrné, že za „pochybení“ žalovaného krajský soud považoval skutečnost, že krajský úřad jako nadřízený dotčený orgán odmítl provést posouzení nového závazného stanoviska k námitkám žalobců a jelikož toto závazné stanovisko představovalo závazný podklad napadeného rozhodnutí, odmítnutí postupu podle § 149 odst. 7 správního řádu ze strany krajského úřadu považoval za vadu s vlivem na jeho zákonnost. </w:t>
      </w:r>
    </w:p>
    <w:p w14:paraId="720717A3"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Z citovaného ustanovení správního řádu jednoznačně vyplývá, že v případě, že je rozporován obsah závazného stanoviska (v odvolání), je povinností odvolacího správního orgánu vyžádat si jeho potvrzení či změnu u nadřízeného dotčeného orgánu. Zákon zde však neposkytuje tomuto nadřízenému dotčenému orgánu možnost, aby odmítl postupovat podle § 149 odst. 7 správního řádu a aby se odmítl věcí zabývat s odůvodněním, že závazné stanovisko, o jehož potvrzení či změnu se jedná, nebylo podkladem rozhodnutí vydaného správním orgánem prvního stupně (zde rozhodnutím stavebního úřadu).</w:t>
      </w:r>
    </w:p>
    <w:p w14:paraId="1522B949"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Právě k tomu ale došlo v souzené věci. Stalo se tak v důsledku toho, že nové závazné stanovisko vydal dotčený orgán teprve v průběhu odvolacího řízení vedeného žalovaným proti stavebnímu povolení, tudíž nové závazné stanovisko skutečně nemohlo být závazným podkladem vydaného stavebního povolení. Ani taková skutečnost však neumožňuje nadřízenému dotčenému orgánu odmítnout postupovat podle § 149 odst. 7 správního řádu. V souladu se zásadou jednotnosti správního řízení totiž rozhodnutí správních orgánů obou stupňů tvoří jeden celek a bylo-li vydáno závazné stanovisko podle § 149 odst. 1 správního řádu, které je závazné pro výrokovou část rozhodnutí správního orgánu (nehledě na to, že se jednalo o rozhodnutí odvolacího správního orgánu), nemůže nadřízený dotčený orgán (krajský úřad) rezignovat na posouzení jeho obsahu, směřují-li námitky uplatněné v odvolacím řízení právě proti němu. O tom, že nové závazné stanovisko, vydané v nynější věci dotčeným orgánem (památkové péče) až v průběhu odvolacího řízení, bylo závazným podkladem později vydaného rozhodnutí žalovaného jako odvolacího orgánu, přitom nebylo sporu.</w:t>
      </w:r>
    </w:p>
    <w:p w14:paraId="702ADCBD"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 xml:space="preserve">… krajský úřad se odmítl zabývat posouzením (v podobě potvrzení či změny) nového závazného stanoviska proto, že bylo opatřeno až v odvolacím řízení, a nebylo tedy závazným podkladem stavebního povolení, nikoliv z toho důvodu, že by se uplatněné námitky žalobců nového závazného stanoviska netýkaly, jak nyní namítá stěžovatelka. Z uvedeného důvodu nelze za relevantní považovat nynější stížnostní argumentaci, v níž stěžovatelka obhajuje postup krajského úřadu jako správný proto, že námitky žalobců, které ve svém vyjádření k novému závaznému stanovisku v odvolacím řízení uplatnili, směřovaly pouze do územního řízení, o něž zde nešlo. Požadovanou úvahu o tom, že tyto jejich námitky nemohly mít na správnost obsahu nového závazného stanoviska vliv, přitom nebyl oprávněn učinit žalovaný, který nebyl orgánem k tomu odborně způsobilým. S ohledem na uvedené není důvodná nynější stížnostní námitka o tom, že se argumentace žalobců vůči obsahu nového závazného stanoviska </w:t>
      </w:r>
      <w:r w:rsidRPr="00F10AC6">
        <w:rPr>
          <w:rFonts w:ascii="Times New Roman" w:hAnsi="Times New Roman"/>
          <w:sz w:val="24"/>
          <w:szCs w:val="24"/>
        </w:rPr>
        <w:lastRenderedPageBreak/>
        <w:t>míjí s podstatou věci (…). I kdyby se jednalo o tvrzení pravdivé (…), neumožňovalo to nadřízenému dotčenému orgánu postupovat tak, jak učinil, když se odmítl tímto novým závazným stanoviskem zabývat.</w:t>
      </w:r>
    </w:p>
    <w:p w14:paraId="376339D8"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 xml:space="preserve">S ohledem na uvedené Nejvyšší správní soud krajskému soudu přitakává v závěru, že bylo povinností krajského úřadu jako nadřízeného dotčeného orgánu nové závazné stanovisko (…) posoudit a postupem podle citovaného § 149 odst. 7 správního řádu jej buď potvrdit, či změnit. Je tomu tak proto, že nové závazné stanovisko, které nahrazovalo dříve vydané (a poté zrušené) závazné stanovisko, jež tvořilo závazný podklad přezkoumávaného stavebního povolení, bylo obstaráno teprve v průběhu odvolacího řízení. Žalobci přitom obsah tohoto nového závazného stanoviska v průběhu odvolacího řízení poté, co se s ním seznámili, napadli. Správní řád neposkytuje v § 149 odst. 7 správního řádu nadřízenému dotčenému orgánu diskreci spočívající v možnosti zvážit, zda se závazným stanoviskem, které mu bylo k posouzení předloženo, bude či nebude zabývat. Jinými slovy, má-li tento nadřízený dotčený orgán za to, že argumentace směřující proti posuzovanému závaznému stanovisku není relevantní (námitky se netýkají předmětu posouzení, či jsou nedůvodné), závazné stanovisko potvrdí. Postup, spočívající v tom, že se (ať již z jakéhokoliv důvodu) odmítne závazným stanoviskem mu předloženým zabývat, není souladný se zákonem. </w:t>
      </w:r>
    </w:p>
    <w:p w14:paraId="74AEDE9E"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Uvedené platí nepochybně i v případě, k jakému došlo v souzené věci, totiž že námitky proti obsahu závazného stanoviska nebyly obsahem odvolání (…), ale teprve obsahem vyjádření učiněného účastníky řízení v průběhu odvolacího řízení. Opačný výklad (zjevně zastávaný krajským úřadem) zcela popírá smysl a účel § 149 odst. 7 správního řádu. Ten spočívá v možnosti dosáhnout „ověření“ správnosti obsahu závazného stanoviska již v rámci správního řízení, v němž je závazné stanovisko závazným podkladem rozhodnutí podle § 149 odst. 1 správního řádu. ... Závazné stanovisko (včetně procedury při jeho vydání) lze totiž následně přezkoumat již jen v soudním řízení proti samotnému správnímu rozhodnutí, jehož závazným podkladem bylo v souladu se shora citovaným § 75 odst. 2 správního řádu.</w:t>
      </w:r>
    </w:p>
    <w:p w14:paraId="739F5AB7"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Jakkoliv se v daném případě nejedná o pochybení v postupu samotného žalovaného (…), jde k jeho tíži nepochybně nesprávný postup krajského úřadu právě proto, že nové závazné stanovisko bylo závazným podkladem napadeného rozhodnutí. Tato vada tudíž mohla mít vliv na zákonnost napadeného rozhodnutí. Nové závazné stanovisko totiž v soudním řízení správním samostatně přezkoumat nelze.</w:t>
      </w:r>
    </w:p>
    <w:p w14:paraId="4368207B"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 xml:space="preserve">Tvrdí-li stěžovatelka také to, že námitky žalobců proti novému závaznému stanovisku jsou nepřípustné, neboť se netýkají stavebního řízení a jsou také neodůvodněné, zbývá poukázat na výše již uvedené. Takový závěr je oprávněn učinit právě krajský úřad v rámci postupu podle § 149 odst. 7 správního řádu. </w:t>
      </w:r>
    </w:p>
    <w:p w14:paraId="0CB2EE38" w14:textId="77777777" w:rsidR="00F10AC6" w:rsidRPr="00F10AC6" w:rsidRDefault="00F10AC6" w:rsidP="00F10AC6">
      <w:pPr>
        <w:spacing w:after="0"/>
        <w:ind w:firstLine="708"/>
        <w:jc w:val="both"/>
        <w:rPr>
          <w:rFonts w:ascii="Times New Roman" w:hAnsi="Times New Roman"/>
          <w:sz w:val="24"/>
          <w:szCs w:val="24"/>
        </w:rPr>
      </w:pPr>
      <w:r w:rsidRPr="00F10AC6">
        <w:rPr>
          <w:rFonts w:ascii="Times New Roman" w:hAnsi="Times New Roman"/>
          <w:sz w:val="24"/>
          <w:szCs w:val="24"/>
        </w:rPr>
        <w:t>Nedošlo-li vůbec k posouzení jeho obsahu nadřízeným dotčeným orgánem, ačkoliv ten byl povinen po předložení věci toto posouzení podle zmíněného ustanovení provést, je zřejmé, že práva žalobců tímto nesprávným postupem krajského úřadu dotčena byla.</w:t>
      </w:r>
    </w:p>
    <w:p w14:paraId="0D9DDED0" w14:textId="4769A486" w:rsidR="005338A7" w:rsidRPr="00F10AC6" w:rsidRDefault="00F10AC6" w:rsidP="00F10AC6">
      <w:pPr>
        <w:spacing w:after="0"/>
        <w:ind w:firstLine="708"/>
        <w:jc w:val="both"/>
        <w:rPr>
          <w:rFonts w:ascii="Times New Roman" w:hAnsi="Times New Roman"/>
          <w:sz w:val="24"/>
          <w:szCs w:val="24"/>
          <w:highlight w:val="yellow"/>
        </w:rPr>
      </w:pPr>
      <w:r w:rsidRPr="00F10AC6">
        <w:rPr>
          <w:rFonts w:ascii="Times New Roman" w:hAnsi="Times New Roman"/>
          <w:sz w:val="24"/>
          <w:szCs w:val="24"/>
        </w:rPr>
        <w:t>Jak již také shora uvedeno, pokud tyto námitky měly směřovat mimo rámec předmětu řízení (…), resp. pokud tyto námitky nejsou důvodné, bylo věcí nadřízeného dotčeného orgánu, aby takto námitky žalobců posoudil a rozhodl o potvrzení či změně nového závazného stanoviska. To však neučinil.</w:t>
      </w:r>
    </w:p>
    <w:sectPr w:rsidR="005338A7" w:rsidRPr="00F10AC6" w:rsidSect="00AE0D8F">
      <w:headerReference w:type="default" r:id="rId8"/>
      <w:footerReference w:type="default" r:id="rId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AEE3" w16cex:dateUtc="2020-10-08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27CF" w14:textId="77777777" w:rsidR="00872D51" w:rsidRDefault="00872D51" w:rsidP="005F2B72">
      <w:pPr>
        <w:spacing w:after="0" w:line="240" w:lineRule="auto"/>
      </w:pPr>
      <w:r>
        <w:separator/>
      </w:r>
    </w:p>
  </w:endnote>
  <w:endnote w:type="continuationSeparator" w:id="0">
    <w:p w14:paraId="2DA475D6" w14:textId="77777777" w:rsidR="00872D51" w:rsidRDefault="00872D51" w:rsidP="005F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BBE9" w14:textId="77777777" w:rsidR="007E1074" w:rsidRDefault="007E1074" w:rsidP="00ED436C">
    <w:pPr>
      <w:pStyle w:val="Zpat"/>
      <w:jc w:val="center"/>
    </w:pPr>
    <w:r w:rsidRPr="00ED436C">
      <w:rPr>
        <w:rFonts w:ascii="Times New Roman" w:hAnsi="Times New Roman"/>
        <w:sz w:val="24"/>
        <w:szCs w:val="24"/>
      </w:rPr>
      <w:fldChar w:fldCharType="begin"/>
    </w:r>
    <w:r w:rsidRPr="00ED436C">
      <w:rPr>
        <w:rFonts w:ascii="Times New Roman" w:hAnsi="Times New Roman"/>
        <w:sz w:val="24"/>
        <w:szCs w:val="24"/>
      </w:rPr>
      <w:instrText>PAGE   \* MERGEFORMAT</w:instrText>
    </w:r>
    <w:r w:rsidRPr="00ED436C">
      <w:rPr>
        <w:rFonts w:ascii="Times New Roman" w:hAnsi="Times New Roman"/>
        <w:sz w:val="24"/>
        <w:szCs w:val="24"/>
      </w:rPr>
      <w:fldChar w:fldCharType="separate"/>
    </w:r>
    <w:r w:rsidR="009506E1">
      <w:rPr>
        <w:rFonts w:ascii="Times New Roman" w:hAnsi="Times New Roman"/>
        <w:noProof/>
        <w:sz w:val="24"/>
        <w:szCs w:val="24"/>
      </w:rPr>
      <w:t>2</w:t>
    </w:r>
    <w:r w:rsidRPr="00ED436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2E25B" w14:textId="77777777" w:rsidR="00872D51" w:rsidRDefault="00872D51" w:rsidP="005F2B72">
      <w:pPr>
        <w:spacing w:after="0" w:line="240" w:lineRule="auto"/>
      </w:pPr>
      <w:r>
        <w:separator/>
      </w:r>
    </w:p>
  </w:footnote>
  <w:footnote w:type="continuationSeparator" w:id="0">
    <w:p w14:paraId="492AAB3C" w14:textId="77777777" w:rsidR="00872D51" w:rsidRDefault="00872D51" w:rsidP="005F2B72">
      <w:pPr>
        <w:spacing w:after="0" w:line="240" w:lineRule="auto"/>
      </w:pPr>
      <w:r>
        <w:continuationSeparator/>
      </w:r>
    </w:p>
  </w:footnote>
  <w:footnote w:id="1">
    <w:p w14:paraId="3249E36E" w14:textId="17EA36AD" w:rsidR="005338A7" w:rsidRDefault="005338A7" w:rsidP="009A1C64">
      <w:pPr>
        <w:pStyle w:val="Textpoznpodarou"/>
        <w:jc w:val="both"/>
      </w:pPr>
      <w:r>
        <w:rPr>
          <w:rStyle w:val="Znakapoznpodarou"/>
        </w:rPr>
        <w:footnoteRef/>
      </w:r>
      <w:r>
        <w:t xml:space="preserve"> </w:t>
      </w:r>
      <w:r w:rsidR="009A1C64" w:rsidRPr="009A1C64">
        <w:t>Tento rozsudek byl sice napaden kasační stížností, nicméně závěry Krajského soudu v Praze Nejvyšší správní soud ve svém rozsudku č. j. 4 As 196/2022 – 53 ze dne 12. 9. 2024 potvrdil a na některá hodnocení Krajského soudu jen odkázal jako na hodnocení zákonná</w:t>
      </w:r>
      <w:r w:rsidR="009A1C64">
        <w:t>.</w:t>
      </w:r>
      <w:r w:rsidR="00133418">
        <w:t xml:space="preserve"> Důvodem zařazení tohoto „starého“ rozsudku do tohoto přehledu je právě skutečnost potvrzení názoru Krajského soudu v Praze ze strany Nejvyššího správního soudu, kdy k tomuto potvrzení došlo v loňském roce.</w:t>
      </w:r>
    </w:p>
  </w:footnote>
  <w:footnote w:id="2">
    <w:p w14:paraId="0866CF7C" w14:textId="77777777" w:rsidR="003C21EE" w:rsidRDefault="003C21EE" w:rsidP="003C21EE">
      <w:pPr>
        <w:pStyle w:val="Textpoznpodarou"/>
        <w:jc w:val="both"/>
      </w:pPr>
      <w:r>
        <w:rPr>
          <w:rStyle w:val="Znakapoznpodarou"/>
        </w:rPr>
        <w:footnoteRef/>
      </w:r>
      <w:r>
        <w:t xml:space="preserve"> Tento rozsudek nebyl napaden kasační stížností a je tak konečným rozsudkem v dané věci.</w:t>
      </w:r>
    </w:p>
  </w:footnote>
  <w:footnote w:id="3">
    <w:p w14:paraId="2AAEEB65" w14:textId="77777777" w:rsidR="003C21EE" w:rsidRDefault="003C21EE" w:rsidP="003C21EE">
      <w:pPr>
        <w:pStyle w:val="Textpoznpodarou"/>
        <w:jc w:val="both"/>
      </w:pPr>
      <w:r>
        <w:rPr>
          <w:rStyle w:val="Znakapoznpodarou"/>
        </w:rPr>
        <w:footnoteRef/>
      </w:r>
      <w:r>
        <w:t xml:space="preserve"> Tento rozsudek nebyl napaden kasační stížností a je tak konečným rozsudkem v dané věci.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97A8" w14:textId="77777777" w:rsidR="007E1074" w:rsidRPr="007E1074" w:rsidRDefault="007E1074" w:rsidP="007E1074">
    <w:pPr>
      <w:pStyle w:val="Zhlav"/>
      <w:spacing w:after="0"/>
      <w:jc w:val="center"/>
      <w:rPr>
        <w:rFonts w:ascii="Times New Roman" w:hAnsi="Times New Roman"/>
        <w:b/>
        <w:sz w:val="20"/>
        <w:szCs w:val="20"/>
      </w:rPr>
    </w:pPr>
    <w:r w:rsidRPr="007E1074">
      <w:rPr>
        <w:rFonts w:ascii="Times New Roman" w:hAnsi="Times New Roman"/>
        <w:b/>
        <w:sz w:val="20"/>
        <w:szCs w:val="20"/>
      </w:rPr>
      <w:t>Judikatura a památková péče</w:t>
    </w:r>
  </w:p>
  <w:p w14:paraId="7EDED03D" w14:textId="2BBC4057" w:rsidR="00841CA2" w:rsidRPr="00ED436C" w:rsidRDefault="007E1074" w:rsidP="007E1074">
    <w:pPr>
      <w:pStyle w:val="Zhlav"/>
      <w:spacing w:after="0"/>
      <w:jc w:val="center"/>
      <w:rPr>
        <w:rFonts w:ascii="Times New Roman" w:hAnsi="Times New Roman"/>
        <w:sz w:val="16"/>
        <w:szCs w:val="16"/>
      </w:rPr>
    </w:pPr>
    <w:r>
      <w:rPr>
        <w:rFonts w:ascii="Times New Roman" w:hAnsi="Times New Roman"/>
        <w:sz w:val="20"/>
        <w:szCs w:val="20"/>
      </w:rPr>
      <w:t>p</w:t>
    </w:r>
    <w:r w:rsidRPr="00E91DE8">
      <w:rPr>
        <w:rFonts w:ascii="Times New Roman" w:hAnsi="Times New Roman"/>
        <w:sz w:val="20"/>
        <w:szCs w:val="20"/>
      </w:rPr>
      <w:t xml:space="preserve">orada Ministerstva kultury s pracovníky krajských úřadů a MHMP </w:t>
    </w:r>
    <w:r w:rsidR="00550C22">
      <w:rPr>
        <w:rFonts w:ascii="Times New Roman" w:hAnsi="Times New Roman"/>
        <w:sz w:val="20"/>
        <w:szCs w:val="20"/>
      </w:rPr>
      <w:t>konaná dne</w:t>
    </w:r>
    <w:r w:rsidRPr="00E91DE8">
      <w:rPr>
        <w:rFonts w:ascii="Times New Roman" w:hAnsi="Times New Roman"/>
        <w:sz w:val="20"/>
        <w:szCs w:val="20"/>
      </w:rPr>
      <w:t xml:space="preserve"> </w:t>
    </w:r>
    <w:r w:rsidR="007C0244">
      <w:rPr>
        <w:rFonts w:ascii="Times New Roman" w:hAnsi="Times New Roman"/>
        <w:sz w:val="20"/>
        <w:szCs w:val="20"/>
      </w:rPr>
      <w:t>6</w:t>
    </w:r>
    <w:r w:rsidRPr="00E91DE8">
      <w:rPr>
        <w:rFonts w:ascii="Times New Roman" w:hAnsi="Times New Roman"/>
        <w:sz w:val="20"/>
        <w:szCs w:val="20"/>
      </w:rPr>
      <w:t>.</w:t>
    </w:r>
    <w:r w:rsidR="0061799B">
      <w:rPr>
        <w:rFonts w:ascii="Times New Roman" w:hAnsi="Times New Roman"/>
        <w:sz w:val="20"/>
        <w:szCs w:val="20"/>
      </w:rPr>
      <w:t xml:space="preserve"> </w:t>
    </w:r>
    <w:r w:rsidR="007C0244">
      <w:rPr>
        <w:rFonts w:ascii="Times New Roman" w:hAnsi="Times New Roman"/>
        <w:sz w:val="20"/>
        <w:szCs w:val="20"/>
      </w:rPr>
      <w:t>listopadu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2AC2"/>
    <w:multiLevelType w:val="hybridMultilevel"/>
    <w:tmpl w:val="65DAF192"/>
    <w:lvl w:ilvl="0" w:tplc="F1C6D6DC">
      <w:start w:val="1"/>
      <w:numFmt w:val="decimal"/>
      <w:pStyle w:val="StylNadpis4Ped6bZa6b"/>
      <w:lvlText w:val="%1."/>
      <w:lvlJc w:val="left"/>
      <w:pPr>
        <w:ind w:left="1211"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5482631"/>
    <w:multiLevelType w:val="hybridMultilevel"/>
    <w:tmpl w:val="BD00584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62A7E41"/>
    <w:multiLevelType w:val="hybridMultilevel"/>
    <w:tmpl w:val="2AEC1038"/>
    <w:lvl w:ilvl="0" w:tplc="EC946EAA">
      <w:start w:val="1"/>
      <w:numFmt w:val="decimal"/>
      <w:pStyle w:val="Nadpis4"/>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585419"/>
    <w:multiLevelType w:val="hybridMultilevel"/>
    <w:tmpl w:val="F698C472"/>
    <w:lvl w:ilvl="0" w:tplc="C01A3518">
      <w:start w:val="1"/>
      <w:numFmt w:val="decimal"/>
      <w:lvlText w:val="%1."/>
      <w:lvlJc w:val="left"/>
      <w:pPr>
        <w:tabs>
          <w:tab w:val="num" w:pos="720"/>
        </w:tabs>
        <w:ind w:left="720" w:hanging="360"/>
      </w:pPr>
    </w:lvl>
    <w:lvl w:ilvl="1" w:tplc="2676F5B8" w:tentative="1">
      <w:start w:val="1"/>
      <w:numFmt w:val="decimal"/>
      <w:lvlText w:val="%2."/>
      <w:lvlJc w:val="left"/>
      <w:pPr>
        <w:tabs>
          <w:tab w:val="num" w:pos="1440"/>
        </w:tabs>
        <w:ind w:left="1440" w:hanging="360"/>
      </w:pPr>
    </w:lvl>
    <w:lvl w:ilvl="2" w:tplc="3766D032" w:tentative="1">
      <w:start w:val="1"/>
      <w:numFmt w:val="decimal"/>
      <w:lvlText w:val="%3."/>
      <w:lvlJc w:val="left"/>
      <w:pPr>
        <w:tabs>
          <w:tab w:val="num" w:pos="2160"/>
        </w:tabs>
        <w:ind w:left="2160" w:hanging="360"/>
      </w:pPr>
    </w:lvl>
    <w:lvl w:ilvl="3" w:tplc="B60C79F8" w:tentative="1">
      <w:start w:val="1"/>
      <w:numFmt w:val="decimal"/>
      <w:lvlText w:val="%4."/>
      <w:lvlJc w:val="left"/>
      <w:pPr>
        <w:tabs>
          <w:tab w:val="num" w:pos="2880"/>
        </w:tabs>
        <w:ind w:left="2880" w:hanging="360"/>
      </w:pPr>
    </w:lvl>
    <w:lvl w:ilvl="4" w:tplc="BB1C97DA" w:tentative="1">
      <w:start w:val="1"/>
      <w:numFmt w:val="decimal"/>
      <w:lvlText w:val="%5."/>
      <w:lvlJc w:val="left"/>
      <w:pPr>
        <w:tabs>
          <w:tab w:val="num" w:pos="3600"/>
        </w:tabs>
        <w:ind w:left="3600" w:hanging="360"/>
      </w:pPr>
    </w:lvl>
    <w:lvl w:ilvl="5" w:tplc="29B466EA" w:tentative="1">
      <w:start w:val="1"/>
      <w:numFmt w:val="decimal"/>
      <w:lvlText w:val="%6."/>
      <w:lvlJc w:val="left"/>
      <w:pPr>
        <w:tabs>
          <w:tab w:val="num" w:pos="4320"/>
        </w:tabs>
        <w:ind w:left="4320" w:hanging="360"/>
      </w:pPr>
    </w:lvl>
    <w:lvl w:ilvl="6" w:tplc="7EF04D24" w:tentative="1">
      <w:start w:val="1"/>
      <w:numFmt w:val="decimal"/>
      <w:lvlText w:val="%7."/>
      <w:lvlJc w:val="left"/>
      <w:pPr>
        <w:tabs>
          <w:tab w:val="num" w:pos="5040"/>
        </w:tabs>
        <w:ind w:left="5040" w:hanging="360"/>
      </w:pPr>
    </w:lvl>
    <w:lvl w:ilvl="7" w:tplc="DFF0B580" w:tentative="1">
      <w:start w:val="1"/>
      <w:numFmt w:val="decimal"/>
      <w:lvlText w:val="%8."/>
      <w:lvlJc w:val="left"/>
      <w:pPr>
        <w:tabs>
          <w:tab w:val="num" w:pos="5760"/>
        </w:tabs>
        <w:ind w:left="5760" w:hanging="360"/>
      </w:pPr>
    </w:lvl>
    <w:lvl w:ilvl="8" w:tplc="604227EA" w:tentative="1">
      <w:start w:val="1"/>
      <w:numFmt w:val="decimal"/>
      <w:lvlText w:val="%9."/>
      <w:lvlJc w:val="left"/>
      <w:pPr>
        <w:tabs>
          <w:tab w:val="num" w:pos="6480"/>
        </w:tabs>
        <w:ind w:left="6480" w:hanging="360"/>
      </w:pPr>
    </w:lvl>
  </w:abstractNum>
  <w:abstractNum w:abstractNumId="4" w15:restartNumberingAfterBreak="0">
    <w:nsid w:val="417A1FF0"/>
    <w:multiLevelType w:val="hybridMultilevel"/>
    <w:tmpl w:val="07B2A71E"/>
    <w:lvl w:ilvl="0" w:tplc="0405000F">
      <w:start w:val="1"/>
      <w:numFmt w:val="decimal"/>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5" w15:restartNumberingAfterBreak="0">
    <w:nsid w:val="4E427459"/>
    <w:multiLevelType w:val="hybridMultilevel"/>
    <w:tmpl w:val="D2FEE1F6"/>
    <w:lvl w:ilvl="0" w:tplc="BBBC932C">
      <w:start w:val="1"/>
      <w:numFmt w:val="decimal"/>
      <w:lvlText w:val="%1."/>
      <w:lvlJc w:val="left"/>
      <w:pPr>
        <w:ind w:left="1069" w:hanging="360"/>
      </w:pPr>
      <w:rPr>
        <w:rFonts w:ascii="Times New Roman" w:hAnsi="Times New Roman" w:cs="Times New Roman" w:hint="default"/>
        <w:sz w:val="24"/>
        <w:szCs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5C920550"/>
    <w:multiLevelType w:val="singleLevel"/>
    <w:tmpl w:val="DB806E6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0"/>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6"/>
  </w:num>
  <w:num w:numId="16">
    <w:abstractNumId w:val="0"/>
  </w:num>
  <w:num w:numId="17">
    <w:abstractNumId w:val="0"/>
  </w:num>
  <w:num w:numId="18">
    <w:abstractNumId w:val="0"/>
  </w:num>
  <w:num w:numId="19">
    <w:abstractNumId w:val="0"/>
  </w:num>
  <w:num w:numId="20">
    <w:abstractNumId w:val="0"/>
  </w:num>
  <w:num w:numId="21">
    <w:abstractNumId w:val="5"/>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EB"/>
    <w:rsid w:val="0001167F"/>
    <w:rsid w:val="00016B96"/>
    <w:rsid w:val="000511D8"/>
    <w:rsid w:val="0007506E"/>
    <w:rsid w:val="001002F9"/>
    <w:rsid w:val="001012A7"/>
    <w:rsid w:val="00114DB4"/>
    <w:rsid w:val="00121D9C"/>
    <w:rsid w:val="001325C4"/>
    <w:rsid w:val="00132DF9"/>
    <w:rsid w:val="00133418"/>
    <w:rsid w:val="00147429"/>
    <w:rsid w:val="001479A1"/>
    <w:rsid w:val="00151136"/>
    <w:rsid w:val="00152990"/>
    <w:rsid w:val="00160AD4"/>
    <w:rsid w:val="00182677"/>
    <w:rsid w:val="001B3BA6"/>
    <w:rsid w:val="001B41BC"/>
    <w:rsid w:val="001B642F"/>
    <w:rsid w:val="001C12EE"/>
    <w:rsid w:val="001D5B35"/>
    <w:rsid w:val="001F300B"/>
    <w:rsid w:val="002131D5"/>
    <w:rsid w:val="00231F07"/>
    <w:rsid w:val="002405F5"/>
    <w:rsid w:val="002456CB"/>
    <w:rsid w:val="002745EA"/>
    <w:rsid w:val="00284FA2"/>
    <w:rsid w:val="002A2B42"/>
    <w:rsid w:val="002B452C"/>
    <w:rsid w:val="002B51AD"/>
    <w:rsid w:val="002C12DB"/>
    <w:rsid w:val="002C4F82"/>
    <w:rsid w:val="002C5A93"/>
    <w:rsid w:val="002D0D46"/>
    <w:rsid w:val="002E15B9"/>
    <w:rsid w:val="002F267C"/>
    <w:rsid w:val="002F5D7F"/>
    <w:rsid w:val="002F7F35"/>
    <w:rsid w:val="003038B7"/>
    <w:rsid w:val="0031533B"/>
    <w:rsid w:val="00333DC7"/>
    <w:rsid w:val="0035401C"/>
    <w:rsid w:val="00355BF1"/>
    <w:rsid w:val="003644E5"/>
    <w:rsid w:val="00397B97"/>
    <w:rsid w:val="003A4F97"/>
    <w:rsid w:val="003A5E99"/>
    <w:rsid w:val="003C21EE"/>
    <w:rsid w:val="003D3B26"/>
    <w:rsid w:val="003D520D"/>
    <w:rsid w:val="0040095D"/>
    <w:rsid w:val="00402DF1"/>
    <w:rsid w:val="00414157"/>
    <w:rsid w:val="0041664B"/>
    <w:rsid w:val="004318FF"/>
    <w:rsid w:val="0043237B"/>
    <w:rsid w:val="0046715A"/>
    <w:rsid w:val="004726E7"/>
    <w:rsid w:val="00485600"/>
    <w:rsid w:val="004858AD"/>
    <w:rsid w:val="004A3862"/>
    <w:rsid w:val="004C0E64"/>
    <w:rsid w:val="004D27CC"/>
    <w:rsid w:val="004E0E73"/>
    <w:rsid w:val="004E6EE1"/>
    <w:rsid w:val="00503CA5"/>
    <w:rsid w:val="005122C5"/>
    <w:rsid w:val="00521B32"/>
    <w:rsid w:val="005338A7"/>
    <w:rsid w:val="00533F02"/>
    <w:rsid w:val="005342B8"/>
    <w:rsid w:val="00550C22"/>
    <w:rsid w:val="00561DC5"/>
    <w:rsid w:val="0057357D"/>
    <w:rsid w:val="00582A12"/>
    <w:rsid w:val="005870F2"/>
    <w:rsid w:val="005B3CE4"/>
    <w:rsid w:val="005D646F"/>
    <w:rsid w:val="005E2C35"/>
    <w:rsid w:val="005E6559"/>
    <w:rsid w:val="005F2B72"/>
    <w:rsid w:val="005F2F11"/>
    <w:rsid w:val="005F479E"/>
    <w:rsid w:val="005F4CFD"/>
    <w:rsid w:val="00606AD7"/>
    <w:rsid w:val="0061799B"/>
    <w:rsid w:val="00626E5B"/>
    <w:rsid w:val="00670C6A"/>
    <w:rsid w:val="00682005"/>
    <w:rsid w:val="006900FA"/>
    <w:rsid w:val="00690743"/>
    <w:rsid w:val="006C5028"/>
    <w:rsid w:val="006D02D0"/>
    <w:rsid w:val="006D48B5"/>
    <w:rsid w:val="006E65F8"/>
    <w:rsid w:val="006E7CB3"/>
    <w:rsid w:val="006F3633"/>
    <w:rsid w:val="006F3AA6"/>
    <w:rsid w:val="00700FED"/>
    <w:rsid w:val="00720164"/>
    <w:rsid w:val="00727F41"/>
    <w:rsid w:val="00740047"/>
    <w:rsid w:val="007468F4"/>
    <w:rsid w:val="00750153"/>
    <w:rsid w:val="00750F60"/>
    <w:rsid w:val="007534B3"/>
    <w:rsid w:val="007778E9"/>
    <w:rsid w:val="00790396"/>
    <w:rsid w:val="00794F90"/>
    <w:rsid w:val="007A1FCE"/>
    <w:rsid w:val="007C0244"/>
    <w:rsid w:val="007C1DFB"/>
    <w:rsid w:val="007D0DD9"/>
    <w:rsid w:val="007E1074"/>
    <w:rsid w:val="00824793"/>
    <w:rsid w:val="008357DA"/>
    <w:rsid w:val="00837204"/>
    <w:rsid w:val="0083753C"/>
    <w:rsid w:val="00840BEB"/>
    <w:rsid w:val="00841CA2"/>
    <w:rsid w:val="00864A35"/>
    <w:rsid w:val="00867B43"/>
    <w:rsid w:val="00872D51"/>
    <w:rsid w:val="008B337D"/>
    <w:rsid w:val="008B7534"/>
    <w:rsid w:val="008C79EC"/>
    <w:rsid w:val="008D2822"/>
    <w:rsid w:val="008E78D6"/>
    <w:rsid w:val="0090447A"/>
    <w:rsid w:val="0093166E"/>
    <w:rsid w:val="00932322"/>
    <w:rsid w:val="009326D3"/>
    <w:rsid w:val="00933731"/>
    <w:rsid w:val="009506E1"/>
    <w:rsid w:val="00962FF7"/>
    <w:rsid w:val="00970539"/>
    <w:rsid w:val="00982714"/>
    <w:rsid w:val="009859F3"/>
    <w:rsid w:val="009A1C64"/>
    <w:rsid w:val="009A38E6"/>
    <w:rsid w:val="009A6A9C"/>
    <w:rsid w:val="009B4C3A"/>
    <w:rsid w:val="009C190C"/>
    <w:rsid w:val="009C7D22"/>
    <w:rsid w:val="009D4AFA"/>
    <w:rsid w:val="009E446B"/>
    <w:rsid w:val="009F7D38"/>
    <w:rsid w:val="00A232E0"/>
    <w:rsid w:val="00A3488E"/>
    <w:rsid w:val="00A34E25"/>
    <w:rsid w:val="00A55398"/>
    <w:rsid w:val="00A71A1A"/>
    <w:rsid w:val="00A73089"/>
    <w:rsid w:val="00A740AE"/>
    <w:rsid w:val="00A7635A"/>
    <w:rsid w:val="00A771C0"/>
    <w:rsid w:val="00A77526"/>
    <w:rsid w:val="00A90D53"/>
    <w:rsid w:val="00A92A31"/>
    <w:rsid w:val="00A958D6"/>
    <w:rsid w:val="00A959CD"/>
    <w:rsid w:val="00AC30ED"/>
    <w:rsid w:val="00AE0D8F"/>
    <w:rsid w:val="00AE4998"/>
    <w:rsid w:val="00AF132F"/>
    <w:rsid w:val="00AF1EE0"/>
    <w:rsid w:val="00B04AAD"/>
    <w:rsid w:val="00B101F9"/>
    <w:rsid w:val="00B30885"/>
    <w:rsid w:val="00B451D7"/>
    <w:rsid w:val="00B50674"/>
    <w:rsid w:val="00B515ED"/>
    <w:rsid w:val="00B51B7A"/>
    <w:rsid w:val="00B9797B"/>
    <w:rsid w:val="00BA3E3A"/>
    <w:rsid w:val="00BB2A92"/>
    <w:rsid w:val="00BC25AB"/>
    <w:rsid w:val="00BC49AA"/>
    <w:rsid w:val="00BD57D0"/>
    <w:rsid w:val="00BD6AB6"/>
    <w:rsid w:val="00BE40A8"/>
    <w:rsid w:val="00C06363"/>
    <w:rsid w:val="00C14F65"/>
    <w:rsid w:val="00C15D6C"/>
    <w:rsid w:val="00C34434"/>
    <w:rsid w:val="00C46C56"/>
    <w:rsid w:val="00C5368F"/>
    <w:rsid w:val="00C72EC3"/>
    <w:rsid w:val="00C731BC"/>
    <w:rsid w:val="00CA0005"/>
    <w:rsid w:val="00CC161C"/>
    <w:rsid w:val="00CD0CDC"/>
    <w:rsid w:val="00CD33EF"/>
    <w:rsid w:val="00CD534B"/>
    <w:rsid w:val="00CD7F0F"/>
    <w:rsid w:val="00CE0852"/>
    <w:rsid w:val="00CE19DA"/>
    <w:rsid w:val="00CE79CF"/>
    <w:rsid w:val="00D01737"/>
    <w:rsid w:val="00D07668"/>
    <w:rsid w:val="00D3564D"/>
    <w:rsid w:val="00D47026"/>
    <w:rsid w:val="00D60113"/>
    <w:rsid w:val="00D86B92"/>
    <w:rsid w:val="00D97CD8"/>
    <w:rsid w:val="00DA0ABC"/>
    <w:rsid w:val="00DB37EB"/>
    <w:rsid w:val="00DB3AC2"/>
    <w:rsid w:val="00DD11AE"/>
    <w:rsid w:val="00DD4006"/>
    <w:rsid w:val="00DE3888"/>
    <w:rsid w:val="00DF18AC"/>
    <w:rsid w:val="00DF3CC6"/>
    <w:rsid w:val="00DF40A1"/>
    <w:rsid w:val="00E02331"/>
    <w:rsid w:val="00E0633A"/>
    <w:rsid w:val="00E13B27"/>
    <w:rsid w:val="00E21426"/>
    <w:rsid w:val="00E2442B"/>
    <w:rsid w:val="00E32C28"/>
    <w:rsid w:val="00E51519"/>
    <w:rsid w:val="00E55226"/>
    <w:rsid w:val="00E616FD"/>
    <w:rsid w:val="00E61C06"/>
    <w:rsid w:val="00E810AE"/>
    <w:rsid w:val="00E83B8F"/>
    <w:rsid w:val="00EA1566"/>
    <w:rsid w:val="00EA29F8"/>
    <w:rsid w:val="00EA3067"/>
    <w:rsid w:val="00EA31D3"/>
    <w:rsid w:val="00EA3505"/>
    <w:rsid w:val="00EC2D7B"/>
    <w:rsid w:val="00EC6B15"/>
    <w:rsid w:val="00ED436C"/>
    <w:rsid w:val="00EE4BD3"/>
    <w:rsid w:val="00EE595F"/>
    <w:rsid w:val="00F10AC6"/>
    <w:rsid w:val="00F11347"/>
    <w:rsid w:val="00F30D28"/>
    <w:rsid w:val="00F35B0C"/>
    <w:rsid w:val="00F677AC"/>
    <w:rsid w:val="00F67A24"/>
    <w:rsid w:val="00F841E6"/>
    <w:rsid w:val="00F941F9"/>
    <w:rsid w:val="00FA7692"/>
    <w:rsid w:val="00FB0D38"/>
    <w:rsid w:val="00FB2B82"/>
    <w:rsid w:val="00FB5233"/>
    <w:rsid w:val="00FC226B"/>
    <w:rsid w:val="00FC485B"/>
    <w:rsid w:val="00FD741E"/>
    <w:rsid w:val="00FD7AAF"/>
    <w:rsid w:val="00FE0AE4"/>
    <w:rsid w:val="00FE39B1"/>
    <w:rsid w:val="00FF3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365156"/>
  <w15:docId w15:val="{ADAFD8A8-406B-46F6-971E-BCB543C5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2B51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C4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7E1074"/>
    <w:pPr>
      <w:keepNext/>
      <w:numPr>
        <w:numId w:val="2"/>
      </w:numPr>
      <w:spacing w:before="480" w:after="240" w:line="240" w:lineRule="auto"/>
      <w:jc w:val="both"/>
      <w:outlineLvl w:val="3"/>
    </w:pPr>
    <w:rPr>
      <w:rFonts w:ascii="Times New Roman" w:eastAsia="Times New Roman" w:hAnsi="Times New Roman"/>
      <w:b/>
      <w:bCs/>
      <w:sz w:val="24"/>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5F2B72"/>
    <w:rPr>
      <w:color w:val="0000FF"/>
      <w:u w:val="single"/>
    </w:rPr>
  </w:style>
  <w:style w:type="paragraph" w:styleId="Textpoznpodarou">
    <w:name w:val="footnote text"/>
    <w:basedOn w:val="Normln"/>
    <w:link w:val="TextpoznpodarouChar"/>
    <w:uiPriority w:val="99"/>
    <w:rsid w:val="005F2B72"/>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rsid w:val="005F2B72"/>
    <w:rPr>
      <w:rFonts w:ascii="Times New Roman" w:eastAsia="Times New Roman" w:hAnsi="Times New Roman"/>
    </w:rPr>
  </w:style>
  <w:style w:type="character" w:styleId="Znakapoznpodarou">
    <w:name w:val="footnote reference"/>
    <w:uiPriority w:val="99"/>
    <w:semiHidden/>
    <w:rsid w:val="005F2B72"/>
    <w:rPr>
      <w:vertAlign w:val="superscript"/>
    </w:rPr>
  </w:style>
  <w:style w:type="character" w:styleId="Sledovanodkaz">
    <w:name w:val="FollowedHyperlink"/>
    <w:uiPriority w:val="99"/>
    <w:semiHidden/>
    <w:unhideWhenUsed/>
    <w:rsid w:val="005F2B72"/>
    <w:rPr>
      <w:color w:val="800080"/>
      <w:u w:val="single"/>
    </w:rPr>
  </w:style>
  <w:style w:type="paragraph" w:styleId="Zhlav">
    <w:name w:val="header"/>
    <w:basedOn w:val="Normln"/>
    <w:link w:val="ZhlavChar"/>
    <w:unhideWhenUsed/>
    <w:rsid w:val="007E1074"/>
    <w:pPr>
      <w:tabs>
        <w:tab w:val="center" w:pos="4536"/>
        <w:tab w:val="right" w:pos="9072"/>
      </w:tabs>
    </w:pPr>
  </w:style>
  <w:style w:type="character" w:customStyle="1" w:styleId="ZhlavChar">
    <w:name w:val="Záhlaví Char"/>
    <w:link w:val="Zhlav"/>
    <w:uiPriority w:val="99"/>
    <w:rsid w:val="007E1074"/>
    <w:rPr>
      <w:sz w:val="22"/>
      <w:szCs w:val="22"/>
      <w:lang w:eastAsia="en-US"/>
    </w:rPr>
  </w:style>
  <w:style w:type="paragraph" w:styleId="Zpat">
    <w:name w:val="footer"/>
    <w:basedOn w:val="Normln"/>
    <w:link w:val="ZpatChar"/>
    <w:uiPriority w:val="99"/>
    <w:unhideWhenUsed/>
    <w:rsid w:val="007E1074"/>
    <w:pPr>
      <w:tabs>
        <w:tab w:val="center" w:pos="4536"/>
        <w:tab w:val="right" w:pos="9072"/>
      </w:tabs>
    </w:pPr>
  </w:style>
  <w:style w:type="character" w:customStyle="1" w:styleId="ZpatChar">
    <w:name w:val="Zápatí Char"/>
    <w:link w:val="Zpat"/>
    <w:uiPriority w:val="99"/>
    <w:rsid w:val="007E1074"/>
    <w:rPr>
      <w:sz w:val="22"/>
      <w:szCs w:val="22"/>
      <w:lang w:eastAsia="en-US"/>
    </w:rPr>
  </w:style>
  <w:style w:type="character" w:customStyle="1" w:styleId="Nadpis4Char">
    <w:name w:val="Nadpis 4 Char"/>
    <w:link w:val="Nadpis4"/>
    <w:rsid w:val="007E1074"/>
    <w:rPr>
      <w:rFonts w:ascii="Times New Roman" w:eastAsia="Times New Roman" w:hAnsi="Times New Roman"/>
      <w:b/>
      <w:bCs/>
      <w:sz w:val="24"/>
      <w:szCs w:val="28"/>
      <w:u w:val="single"/>
    </w:rPr>
  </w:style>
  <w:style w:type="paragraph" w:styleId="Obsah4">
    <w:name w:val="toc 4"/>
    <w:basedOn w:val="Normln"/>
    <w:next w:val="Normln"/>
    <w:autoRedefine/>
    <w:uiPriority w:val="39"/>
    <w:rsid w:val="007E1074"/>
    <w:pPr>
      <w:tabs>
        <w:tab w:val="right" w:leader="dot" w:pos="9360"/>
      </w:tabs>
      <w:spacing w:after="0" w:line="240" w:lineRule="auto"/>
      <w:ind w:left="720" w:right="-145" w:hanging="720"/>
    </w:pPr>
    <w:rPr>
      <w:rFonts w:ascii="Times New Roman" w:eastAsia="Times New Roman" w:hAnsi="Times New Roman"/>
      <w:b/>
      <w:sz w:val="24"/>
      <w:szCs w:val="24"/>
      <w:u w:val="single"/>
      <w:lang w:eastAsia="cs-CZ"/>
    </w:rPr>
  </w:style>
  <w:style w:type="paragraph" w:customStyle="1" w:styleId="StylNadpis4Ped6bZa6b">
    <w:name w:val="Styl Nadpis 4 + Před:  6 b. Za:  6 b."/>
    <w:basedOn w:val="Nadpis4"/>
    <w:autoRedefine/>
    <w:rsid w:val="00FC485B"/>
    <w:pPr>
      <w:numPr>
        <w:numId w:val="1"/>
      </w:numPr>
      <w:spacing w:before="360"/>
    </w:pPr>
    <w:rPr>
      <w:szCs w:val="20"/>
    </w:rPr>
  </w:style>
  <w:style w:type="character" w:styleId="Odkaznakoment">
    <w:name w:val="annotation reference"/>
    <w:basedOn w:val="Standardnpsmoodstavce"/>
    <w:uiPriority w:val="99"/>
    <w:semiHidden/>
    <w:unhideWhenUsed/>
    <w:rsid w:val="00A740AE"/>
    <w:rPr>
      <w:sz w:val="16"/>
      <w:szCs w:val="16"/>
    </w:rPr>
  </w:style>
  <w:style w:type="paragraph" w:styleId="Textkomente">
    <w:name w:val="annotation text"/>
    <w:basedOn w:val="Normln"/>
    <w:link w:val="TextkomenteChar"/>
    <w:uiPriority w:val="99"/>
    <w:semiHidden/>
    <w:unhideWhenUsed/>
    <w:rsid w:val="00A740AE"/>
    <w:pPr>
      <w:spacing w:line="240" w:lineRule="auto"/>
    </w:pPr>
    <w:rPr>
      <w:sz w:val="20"/>
      <w:szCs w:val="20"/>
    </w:rPr>
  </w:style>
  <w:style w:type="character" w:customStyle="1" w:styleId="TextkomenteChar">
    <w:name w:val="Text komentáře Char"/>
    <w:basedOn w:val="Standardnpsmoodstavce"/>
    <w:link w:val="Textkomente"/>
    <w:uiPriority w:val="99"/>
    <w:semiHidden/>
    <w:rsid w:val="00A740AE"/>
    <w:rPr>
      <w:lang w:eastAsia="en-US"/>
    </w:rPr>
  </w:style>
  <w:style w:type="paragraph" w:styleId="Pedmtkomente">
    <w:name w:val="annotation subject"/>
    <w:basedOn w:val="Textkomente"/>
    <w:next w:val="Textkomente"/>
    <w:link w:val="PedmtkomenteChar"/>
    <w:uiPriority w:val="99"/>
    <w:semiHidden/>
    <w:unhideWhenUsed/>
    <w:rsid w:val="00A740AE"/>
    <w:rPr>
      <w:b/>
      <w:bCs/>
    </w:rPr>
  </w:style>
  <w:style w:type="character" w:customStyle="1" w:styleId="PedmtkomenteChar">
    <w:name w:val="Předmět komentáře Char"/>
    <w:basedOn w:val="TextkomenteChar"/>
    <w:link w:val="Pedmtkomente"/>
    <w:uiPriority w:val="99"/>
    <w:semiHidden/>
    <w:rsid w:val="00A740AE"/>
    <w:rPr>
      <w:b/>
      <w:bCs/>
      <w:lang w:eastAsia="en-US"/>
    </w:rPr>
  </w:style>
  <w:style w:type="paragraph" w:styleId="Textbubliny">
    <w:name w:val="Balloon Text"/>
    <w:basedOn w:val="Normln"/>
    <w:link w:val="TextbublinyChar"/>
    <w:uiPriority w:val="99"/>
    <w:semiHidden/>
    <w:unhideWhenUsed/>
    <w:rsid w:val="00A74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0AE"/>
    <w:rPr>
      <w:rFonts w:ascii="Tahoma" w:hAnsi="Tahoma" w:cs="Tahoma"/>
      <w:sz w:val="16"/>
      <w:szCs w:val="16"/>
      <w:lang w:eastAsia="en-US"/>
    </w:rPr>
  </w:style>
  <w:style w:type="paragraph" w:styleId="Normlnweb">
    <w:name w:val="Normal (Web)"/>
    <w:basedOn w:val="Normln"/>
    <w:uiPriority w:val="99"/>
    <w:unhideWhenUsed/>
    <w:rsid w:val="00F941F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semiHidden/>
    <w:rsid w:val="002C4F82"/>
    <w:rPr>
      <w:rFonts w:asciiTheme="majorHAnsi" w:eastAsiaTheme="majorEastAsia" w:hAnsiTheme="majorHAnsi" w:cstheme="majorBidi"/>
      <w:b/>
      <w:bCs/>
      <w:color w:val="4F81BD" w:themeColor="accent1"/>
      <w:sz w:val="26"/>
      <w:szCs w:val="26"/>
      <w:lang w:eastAsia="en-US"/>
    </w:rPr>
  </w:style>
  <w:style w:type="character" w:customStyle="1" w:styleId="Nadpis1Char">
    <w:name w:val="Nadpis 1 Char"/>
    <w:basedOn w:val="Standardnpsmoodstavce"/>
    <w:link w:val="Nadpis1"/>
    <w:uiPriority w:val="9"/>
    <w:rsid w:val="002B51AD"/>
    <w:rPr>
      <w:rFonts w:asciiTheme="majorHAnsi" w:eastAsiaTheme="majorEastAsia" w:hAnsiTheme="majorHAnsi" w:cstheme="majorBidi"/>
      <w:b/>
      <w:bCs/>
      <w:color w:val="365F91" w:themeColor="accent1" w:themeShade="BF"/>
      <w:sz w:val="28"/>
      <w:szCs w:val="28"/>
      <w:lang w:eastAsia="en-US"/>
    </w:rPr>
  </w:style>
  <w:style w:type="paragraph" w:styleId="Odstavecseseznamem">
    <w:name w:val="List Paragraph"/>
    <w:aliases w:val="Odstavec cíl se seznamem,Nad,Odstavec se seznamem5,List Paragraph1,Odstavec_muj,_Odstavec se seznamem,Název grafu,nad 1,Dot pt,No Spacing1,List Paragraph Char Char Char,Indicator Text,Numbered Para 1,List Paragraph à moi,LISTA,3"/>
    <w:basedOn w:val="Normln"/>
    <w:link w:val="OdstavecseseznamemChar"/>
    <w:uiPriority w:val="34"/>
    <w:qFormat/>
    <w:rsid w:val="002B51AD"/>
    <w:pPr>
      <w:ind w:left="720"/>
      <w:contextualSpacing/>
    </w:pPr>
    <w:rPr>
      <w:rFonts w:asciiTheme="minorHAnsi" w:eastAsiaTheme="minorHAnsi" w:hAnsiTheme="minorHAnsi" w:cstheme="minorBidi"/>
    </w:rPr>
  </w:style>
  <w:style w:type="character" w:customStyle="1" w:styleId="OdstavecseseznamemChar">
    <w:name w:val="Odstavec se seznamem Char"/>
    <w:aliases w:val="Odstavec cíl se seznamem Char,Nad Char,Odstavec se seznamem5 Char,List Paragraph1 Char,Odstavec_muj Char,_Odstavec se seznamem Char,Název grafu Char,nad 1 Char,Dot pt Char,No Spacing1 Char,List Paragraph Char Char Char Char"/>
    <w:basedOn w:val="Standardnpsmoodstavce"/>
    <w:link w:val="Odstavecseseznamem"/>
    <w:uiPriority w:val="34"/>
    <w:locked/>
    <w:rsid w:val="006E7CB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1015">
      <w:bodyDiv w:val="1"/>
      <w:marLeft w:val="0"/>
      <w:marRight w:val="0"/>
      <w:marTop w:val="0"/>
      <w:marBottom w:val="0"/>
      <w:divBdr>
        <w:top w:val="none" w:sz="0" w:space="0" w:color="auto"/>
        <w:left w:val="none" w:sz="0" w:space="0" w:color="auto"/>
        <w:bottom w:val="none" w:sz="0" w:space="0" w:color="auto"/>
        <w:right w:val="none" w:sz="0" w:space="0" w:color="auto"/>
      </w:divBdr>
    </w:div>
    <w:div w:id="188182735">
      <w:bodyDiv w:val="1"/>
      <w:marLeft w:val="0"/>
      <w:marRight w:val="0"/>
      <w:marTop w:val="0"/>
      <w:marBottom w:val="0"/>
      <w:divBdr>
        <w:top w:val="none" w:sz="0" w:space="0" w:color="auto"/>
        <w:left w:val="none" w:sz="0" w:space="0" w:color="auto"/>
        <w:bottom w:val="none" w:sz="0" w:space="0" w:color="auto"/>
        <w:right w:val="none" w:sz="0" w:space="0" w:color="auto"/>
      </w:divBdr>
    </w:div>
    <w:div w:id="272368103">
      <w:bodyDiv w:val="1"/>
      <w:marLeft w:val="0"/>
      <w:marRight w:val="0"/>
      <w:marTop w:val="0"/>
      <w:marBottom w:val="0"/>
      <w:divBdr>
        <w:top w:val="none" w:sz="0" w:space="0" w:color="auto"/>
        <w:left w:val="none" w:sz="0" w:space="0" w:color="auto"/>
        <w:bottom w:val="none" w:sz="0" w:space="0" w:color="auto"/>
        <w:right w:val="none" w:sz="0" w:space="0" w:color="auto"/>
      </w:divBdr>
      <w:divsChild>
        <w:div w:id="543368762">
          <w:marLeft w:val="720"/>
          <w:marRight w:val="0"/>
          <w:marTop w:val="96"/>
          <w:marBottom w:val="0"/>
          <w:divBdr>
            <w:top w:val="none" w:sz="0" w:space="0" w:color="auto"/>
            <w:left w:val="none" w:sz="0" w:space="0" w:color="auto"/>
            <w:bottom w:val="none" w:sz="0" w:space="0" w:color="auto"/>
            <w:right w:val="none" w:sz="0" w:space="0" w:color="auto"/>
          </w:divBdr>
        </w:div>
        <w:div w:id="951087794">
          <w:marLeft w:val="720"/>
          <w:marRight w:val="0"/>
          <w:marTop w:val="96"/>
          <w:marBottom w:val="0"/>
          <w:divBdr>
            <w:top w:val="none" w:sz="0" w:space="0" w:color="auto"/>
            <w:left w:val="none" w:sz="0" w:space="0" w:color="auto"/>
            <w:bottom w:val="none" w:sz="0" w:space="0" w:color="auto"/>
            <w:right w:val="none" w:sz="0" w:space="0" w:color="auto"/>
          </w:divBdr>
        </w:div>
        <w:div w:id="2082948505">
          <w:marLeft w:val="720"/>
          <w:marRight w:val="0"/>
          <w:marTop w:val="96"/>
          <w:marBottom w:val="0"/>
          <w:divBdr>
            <w:top w:val="none" w:sz="0" w:space="0" w:color="auto"/>
            <w:left w:val="none" w:sz="0" w:space="0" w:color="auto"/>
            <w:bottom w:val="none" w:sz="0" w:space="0" w:color="auto"/>
            <w:right w:val="none" w:sz="0" w:space="0" w:color="auto"/>
          </w:divBdr>
        </w:div>
        <w:div w:id="2110812686">
          <w:marLeft w:val="720"/>
          <w:marRight w:val="0"/>
          <w:marTop w:val="96"/>
          <w:marBottom w:val="0"/>
          <w:divBdr>
            <w:top w:val="none" w:sz="0" w:space="0" w:color="auto"/>
            <w:left w:val="none" w:sz="0" w:space="0" w:color="auto"/>
            <w:bottom w:val="none" w:sz="0" w:space="0" w:color="auto"/>
            <w:right w:val="none" w:sz="0" w:space="0" w:color="auto"/>
          </w:divBdr>
        </w:div>
      </w:divsChild>
    </w:div>
    <w:div w:id="328412354">
      <w:bodyDiv w:val="1"/>
      <w:marLeft w:val="0"/>
      <w:marRight w:val="0"/>
      <w:marTop w:val="0"/>
      <w:marBottom w:val="0"/>
      <w:divBdr>
        <w:top w:val="none" w:sz="0" w:space="0" w:color="auto"/>
        <w:left w:val="none" w:sz="0" w:space="0" w:color="auto"/>
        <w:bottom w:val="none" w:sz="0" w:space="0" w:color="auto"/>
        <w:right w:val="none" w:sz="0" w:space="0" w:color="auto"/>
      </w:divBdr>
    </w:div>
    <w:div w:id="344863356">
      <w:bodyDiv w:val="1"/>
      <w:marLeft w:val="0"/>
      <w:marRight w:val="0"/>
      <w:marTop w:val="0"/>
      <w:marBottom w:val="0"/>
      <w:divBdr>
        <w:top w:val="none" w:sz="0" w:space="0" w:color="auto"/>
        <w:left w:val="none" w:sz="0" w:space="0" w:color="auto"/>
        <w:bottom w:val="none" w:sz="0" w:space="0" w:color="auto"/>
        <w:right w:val="none" w:sz="0" w:space="0" w:color="auto"/>
      </w:divBdr>
    </w:div>
    <w:div w:id="370687815">
      <w:bodyDiv w:val="1"/>
      <w:marLeft w:val="0"/>
      <w:marRight w:val="0"/>
      <w:marTop w:val="0"/>
      <w:marBottom w:val="0"/>
      <w:divBdr>
        <w:top w:val="none" w:sz="0" w:space="0" w:color="auto"/>
        <w:left w:val="none" w:sz="0" w:space="0" w:color="auto"/>
        <w:bottom w:val="none" w:sz="0" w:space="0" w:color="auto"/>
        <w:right w:val="none" w:sz="0" w:space="0" w:color="auto"/>
      </w:divBdr>
    </w:div>
    <w:div w:id="463306488">
      <w:bodyDiv w:val="1"/>
      <w:marLeft w:val="0"/>
      <w:marRight w:val="0"/>
      <w:marTop w:val="0"/>
      <w:marBottom w:val="0"/>
      <w:divBdr>
        <w:top w:val="none" w:sz="0" w:space="0" w:color="auto"/>
        <w:left w:val="none" w:sz="0" w:space="0" w:color="auto"/>
        <w:bottom w:val="none" w:sz="0" w:space="0" w:color="auto"/>
        <w:right w:val="none" w:sz="0" w:space="0" w:color="auto"/>
      </w:divBdr>
    </w:div>
    <w:div w:id="564296055">
      <w:bodyDiv w:val="1"/>
      <w:marLeft w:val="0"/>
      <w:marRight w:val="0"/>
      <w:marTop w:val="0"/>
      <w:marBottom w:val="0"/>
      <w:divBdr>
        <w:top w:val="none" w:sz="0" w:space="0" w:color="auto"/>
        <w:left w:val="none" w:sz="0" w:space="0" w:color="auto"/>
        <w:bottom w:val="none" w:sz="0" w:space="0" w:color="auto"/>
        <w:right w:val="none" w:sz="0" w:space="0" w:color="auto"/>
      </w:divBdr>
    </w:div>
    <w:div w:id="597253818">
      <w:bodyDiv w:val="1"/>
      <w:marLeft w:val="0"/>
      <w:marRight w:val="0"/>
      <w:marTop w:val="0"/>
      <w:marBottom w:val="0"/>
      <w:divBdr>
        <w:top w:val="none" w:sz="0" w:space="0" w:color="auto"/>
        <w:left w:val="none" w:sz="0" w:space="0" w:color="auto"/>
        <w:bottom w:val="none" w:sz="0" w:space="0" w:color="auto"/>
        <w:right w:val="none" w:sz="0" w:space="0" w:color="auto"/>
      </w:divBdr>
    </w:div>
    <w:div w:id="703556123">
      <w:bodyDiv w:val="1"/>
      <w:marLeft w:val="0"/>
      <w:marRight w:val="0"/>
      <w:marTop w:val="0"/>
      <w:marBottom w:val="0"/>
      <w:divBdr>
        <w:top w:val="none" w:sz="0" w:space="0" w:color="auto"/>
        <w:left w:val="none" w:sz="0" w:space="0" w:color="auto"/>
        <w:bottom w:val="none" w:sz="0" w:space="0" w:color="auto"/>
        <w:right w:val="none" w:sz="0" w:space="0" w:color="auto"/>
      </w:divBdr>
    </w:div>
    <w:div w:id="709112987">
      <w:bodyDiv w:val="1"/>
      <w:marLeft w:val="0"/>
      <w:marRight w:val="0"/>
      <w:marTop w:val="0"/>
      <w:marBottom w:val="0"/>
      <w:divBdr>
        <w:top w:val="none" w:sz="0" w:space="0" w:color="auto"/>
        <w:left w:val="none" w:sz="0" w:space="0" w:color="auto"/>
        <w:bottom w:val="none" w:sz="0" w:space="0" w:color="auto"/>
        <w:right w:val="none" w:sz="0" w:space="0" w:color="auto"/>
      </w:divBdr>
    </w:div>
    <w:div w:id="758991794">
      <w:bodyDiv w:val="1"/>
      <w:marLeft w:val="0"/>
      <w:marRight w:val="0"/>
      <w:marTop w:val="0"/>
      <w:marBottom w:val="0"/>
      <w:divBdr>
        <w:top w:val="none" w:sz="0" w:space="0" w:color="auto"/>
        <w:left w:val="none" w:sz="0" w:space="0" w:color="auto"/>
        <w:bottom w:val="none" w:sz="0" w:space="0" w:color="auto"/>
        <w:right w:val="none" w:sz="0" w:space="0" w:color="auto"/>
      </w:divBdr>
    </w:div>
    <w:div w:id="870654218">
      <w:bodyDiv w:val="1"/>
      <w:marLeft w:val="0"/>
      <w:marRight w:val="0"/>
      <w:marTop w:val="0"/>
      <w:marBottom w:val="0"/>
      <w:divBdr>
        <w:top w:val="none" w:sz="0" w:space="0" w:color="auto"/>
        <w:left w:val="none" w:sz="0" w:space="0" w:color="auto"/>
        <w:bottom w:val="none" w:sz="0" w:space="0" w:color="auto"/>
        <w:right w:val="none" w:sz="0" w:space="0" w:color="auto"/>
      </w:divBdr>
    </w:div>
    <w:div w:id="883908520">
      <w:bodyDiv w:val="1"/>
      <w:marLeft w:val="0"/>
      <w:marRight w:val="0"/>
      <w:marTop w:val="0"/>
      <w:marBottom w:val="0"/>
      <w:divBdr>
        <w:top w:val="none" w:sz="0" w:space="0" w:color="auto"/>
        <w:left w:val="none" w:sz="0" w:space="0" w:color="auto"/>
        <w:bottom w:val="none" w:sz="0" w:space="0" w:color="auto"/>
        <w:right w:val="none" w:sz="0" w:space="0" w:color="auto"/>
      </w:divBdr>
      <w:divsChild>
        <w:div w:id="725645569">
          <w:marLeft w:val="0"/>
          <w:marRight w:val="0"/>
          <w:marTop w:val="0"/>
          <w:marBottom w:val="0"/>
          <w:divBdr>
            <w:top w:val="none" w:sz="0" w:space="0" w:color="auto"/>
            <w:left w:val="none" w:sz="0" w:space="0" w:color="auto"/>
            <w:bottom w:val="none" w:sz="0" w:space="0" w:color="auto"/>
            <w:right w:val="none" w:sz="0" w:space="0" w:color="auto"/>
          </w:divBdr>
          <w:divsChild>
            <w:div w:id="16613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404">
      <w:bodyDiv w:val="1"/>
      <w:marLeft w:val="0"/>
      <w:marRight w:val="0"/>
      <w:marTop w:val="0"/>
      <w:marBottom w:val="0"/>
      <w:divBdr>
        <w:top w:val="none" w:sz="0" w:space="0" w:color="auto"/>
        <w:left w:val="none" w:sz="0" w:space="0" w:color="auto"/>
        <w:bottom w:val="none" w:sz="0" w:space="0" w:color="auto"/>
        <w:right w:val="none" w:sz="0" w:space="0" w:color="auto"/>
      </w:divBdr>
    </w:div>
    <w:div w:id="1367676178">
      <w:bodyDiv w:val="1"/>
      <w:marLeft w:val="0"/>
      <w:marRight w:val="0"/>
      <w:marTop w:val="0"/>
      <w:marBottom w:val="0"/>
      <w:divBdr>
        <w:top w:val="none" w:sz="0" w:space="0" w:color="auto"/>
        <w:left w:val="none" w:sz="0" w:space="0" w:color="auto"/>
        <w:bottom w:val="none" w:sz="0" w:space="0" w:color="auto"/>
        <w:right w:val="none" w:sz="0" w:space="0" w:color="auto"/>
      </w:divBdr>
    </w:div>
    <w:div w:id="1381980972">
      <w:bodyDiv w:val="1"/>
      <w:marLeft w:val="0"/>
      <w:marRight w:val="0"/>
      <w:marTop w:val="0"/>
      <w:marBottom w:val="0"/>
      <w:divBdr>
        <w:top w:val="none" w:sz="0" w:space="0" w:color="auto"/>
        <w:left w:val="none" w:sz="0" w:space="0" w:color="auto"/>
        <w:bottom w:val="none" w:sz="0" w:space="0" w:color="auto"/>
        <w:right w:val="none" w:sz="0" w:space="0" w:color="auto"/>
      </w:divBdr>
    </w:div>
    <w:div w:id="1459109397">
      <w:bodyDiv w:val="1"/>
      <w:marLeft w:val="0"/>
      <w:marRight w:val="0"/>
      <w:marTop w:val="0"/>
      <w:marBottom w:val="0"/>
      <w:divBdr>
        <w:top w:val="none" w:sz="0" w:space="0" w:color="auto"/>
        <w:left w:val="none" w:sz="0" w:space="0" w:color="auto"/>
        <w:bottom w:val="none" w:sz="0" w:space="0" w:color="auto"/>
        <w:right w:val="none" w:sz="0" w:space="0" w:color="auto"/>
      </w:divBdr>
    </w:div>
    <w:div w:id="1497576486">
      <w:bodyDiv w:val="1"/>
      <w:marLeft w:val="0"/>
      <w:marRight w:val="0"/>
      <w:marTop w:val="0"/>
      <w:marBottom w:val="0"/>
      <w:divBdr>
        <w:top w:val="none" w:sz="0" w:space="0" w:color="auto"/>
        <w:left w:val="none" w:sz="0" w:space="0" w:color="auto"/>
        <w:bottom w:val="none" w:sz="0" w:space="0" w:color="auto"/>
        <w:right w:val="none" w:sz="0" w:space="0" w:color="auto"/>
      </w:divBdr>
    </w:div>
    <w:div w:id="1764715630">
      <w:bodyDiv w:val="1"/>
      <w:marLeft w:val="0"/>
      <w:marRight w:val="0"/>
      <w:marTop w:val="0"/>
      <w:marBottom w:val="0"/>
      <w:divBdr>
        <w:top w:val="none" w:sz="0" w:space="0" w:color="auto"/>
        <w:left w:val="none" w:sz="0" w:space="0" w:color="auto"/>
        <w:bottom w:val="none" w:sz="0" w:space="0" w:color="auto"/>
        <w:right w:val="none" w:sz="0" w:space="0" w:color="auto"/>
      </w:divBdr>
    </w:div>
    <w:div w:id="1859080481">
      <w:bodyDiv w:val="1"/>
      <w:marLeft w:val="0"/>
      <w:marRight w:val="0"/>
      <w:marTop w:val="0"/>
      <w:marBottom w:val="0"/>
      <w:divBdr>
        <w:top w:val="none" w:sz="0" w:space="0" w:color="auto"/>
        <w:left w:val="none" w:sz="0" w:space="0" w:color="auto"/>
        <w:bottom w:val="none" w:sz="0" w:space="0" w:color="auto"/>
        <w:right w:val="none" w:sz="0" w:space="0" w:color="auto"/>
      </w:divBdr>
    </w:div>
    <w:div w:id="1866795928">
      <w:bodyDiv w:val="1"/>
      <w:marLeft w:val="0"/>
      <w:marRight w:val="0"/>
      <w:marTop w:val="0"/>
      <w:marBottom w:val="0"/>
      <w:divBdr>
        <w:top w:val="none" w:sz="0" w:space="0" w:color="auto"/>
        <w:left w:val="none" w:sz="0" w:space="0" w:color="auto"/>
        <w:bottom w:val="none" w:sz="0" w:space="0" w:color="auto"/>
        <w:right w:val="none" w:sz="0" w:space="0" w:color="auto"/>
      </w:divBdr>
    </w:div>
    <w:div w:id="21259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0197-34FC-4ACC-9950-B153CA14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5367</Words>
  <Characters>31672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36966</CharactersWithSpaces>
  <SharedDoc>false</SharedDoc>
  <HLinks>
    <vt:vector size="30" baseType="variant">
      <vt:variant>
        <vt:i4>1245234</vt:i4>
      </vt:variant>
      <vt:variant>
        <vt:i4>26</vt:i4>
      </vt:variant>
      <vt:variant>
        <vt:i4>0</vt:i4>
      </vt:variant>
      <vt:variant>
        <vt:i4>5</vt:i4>
      </vt:variant>
      <vt:variant>
        <vt:lpwstr/>
      </vt:variant>
      <vt:variant>
        <vt:lpwstr>_Toc401216603</vt:lpwstr>
      </vt:variant>
      <vt:variant>
        <vt:i4>1245234</vt:i4>
      </vt:variant>
      <vt:variant>
        <vt:i4>20</vt:i4>
      </vt:variant>
      <vt:variant>
        <vt:i4>0</vt:i4>
      </vt:variant>
      <vt:variant>
        <vt:i4>5</vt:i4>
      </vt:variant>
      <vt:variant>
        <vt:lpwstr/>
      </vt:variant>
      <vt:variant>
        <vt:lpwstr>_Toc401216602</vt:lpwstr>
      </vt:variant>
      <vt:variant>
        <vt:i4>1245234</vt:i4>
      </vt:variant>
      <vt:variant>
        <vt:i4>14</vt:i4>
      </vt:variant>
      <vt:variant>
        <vt:i4>0</vt:i4>
      </vt:variant>
      <vt:variant>
        <vt:i4>5</vt:i4>
      </vt:variant>
      <vt:variant>
        <vt:lpwstr/>
      </vt:variant>
      <vt:variant>
        <vt:lpwstr>_Toc401216601</vt:lpwstr>
      </vt:variant>
      <vt:variant>
        <vt:i4>1245234</vt:i4>
      </vt:variant>
      <vt:variant>
        <vt:i4>8</vt:i4>
      </vt:variant>
      <vt:variant>
        <vt:i4>0</vt:i4>
      </vt:variant>
      <vt:variant>
        <vt:i4>5</vt:i4>
      </vt:variant>
      <vt:variant>
        <vt:lpwstr/>
      </vt:variant>
      <vt:variant>
        <vt:lpwstr>_Toc401216600</vt:lpwstr>
      </vt:variant>
      <vt:variant>
        <vt:i4>1703985</vt:i4>
      </vt:variant>
      <vt:variant>
        <vt:i4>2</vt:i4>
      </vt:variant>
      <vt:variant>
        <vt:i4>0</vt:i4>
      </vt:variant>
      <vt:variant>
        <vt:i4>5</vt:i4>
      </vt:variant>
      <vt:variant>
        <vt:lpwstr/>
      </vt:variant>
      <vt:variant>
        <vt:lpwstr>_Toc401216599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Zídek Martin</cp:lastModifiedBy>
  <cp:revision>7</cp:revision>
  <cp:lastPrinted>2014-10-16T07:54:00Z</cp:lastPrinted>
  <dcterms:created xsi:type="dcterms:W3CDTF">2024-10-23T14:23:00Z</dcterms:created>
  <dcterms:modified xsi:type="dcterms:W3CDTF">2025-10-31T12:28:00Z</dcterms:modified>
</cp:coreProperties>
</file>