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FC" w:rsidRPr="00860CF2" w:rsidRDefault="00796C2D" w:rsidP="00860CF2">
      <w:pPr>
        <w:spacing w:line="240" w:lineRule="auto"/>
        <w:jc w:val="both"/>
        <w:rPr>
          <w:rFonts w:cstheme="minorHAnsi"/>
          <w:b/>
        </w:rPr>
      </w:pPr>
      <w:r w:rsidRPr="00860CF2">
        <w:rPr>
          <w:rFonts w:cstheme="minorHAnsi"/>
          <w:b/>
        </w:rPr>
        <w:t>Program festivalů v roce 2022 – komentář k</w:t>
      </w:r>
      <w:r w:rsidR="000E45FC" w:rsidRPr="00860CF2">
        <w:rPr>
          <w:rFonts w:cstheme="minorHAnsi"/>
          <w:b/>
        </w:rPr>
        <w:t> rozpočtu a k</w:t>
      </w:r>
      <w:r w:rsidRPr="00860CF2">
        <w:rPr>
          <w:rFonts w:cstheme="minorHAnsi"/>
          <w:b/>
        </w:rPr>
        <w:t>e zvolené metodice</w:t>
      </w:r>
    </w:p>
    <w:p w:rsidR="000E45FC" w:rsidRPr="00860CF2" w:rsidRDefault="000E45FC" w:rsidP="00860CF2">
      <w:pPr>
        <w:spacing w:after="0" w:line="240" w:lineRule="auto"/>
        <w:jc w:val="both"/>
        <w:rPr>
          <w:rFonts w:cstheme="minorHAnsi"/>
        </w:rPr>
      </w:pPr>
      <w:r w:rsidRPr="00860CF2">
        <w:rPr>
          <w:rFonts w:cstheme="minorHAnsi"/>
        </w:rPr>
        <w:t>Základním předpisem pro realizaci programu je vedle rozpočtových pravidel</w:t>
      </w:r>
      <w:r w:rsidR="00052D98">
        <w:rPr>
          <w:rFonts w:cstheme="minorHAnsi"/>
        </w:rPr>
        <w:t xml:space="preserve"> (zákon č. 218/2000 Sb.)</w:t>
      </w:r>
      <w:r w:rsidRPr="00860CF2">
        <w:rPr>
          <w:rFonts w:cstheme="minorHAnsi"/>
        </w:rPr>
        <w:t xml:space="preserve"> usnesení vlády č. 415 z 11. května 2016, dále pak vyhlašovací podmínky, které jsou aktualizovány pro každé jednotlivé výběrové řízení. </w:t>
      </w:r>
      <w:r w:rsidR="000E46AA" w:rsidRPr="00860CF2">
        <w:rPr>
          <w:rFonts w:cstheme="minorHAnsi"/>
        </w:rPr>
        <w:t>Ministerstvo kultury pravidelně pořádá</w:t>
      </w:r>
      <w:r w:rsidRPr="00860CF2">
        <w:rPr>
          <w:rFonts w:cstheme="minorHAnsi"/>
        </w:rPr>
        <w:t xml:space="preserve"> veřejné diskuse k podmínkám realizace programu: série oborových kulatých stolů k metodice hodnocení proběhla v roce 2018, mezioborové diskuse zástupců komisí v roce 2019 a 2021.</w:t>
      </w:r>
    </w:p>
    <w:p w:rsidR="000E45FC" w:rsidRPr="00860CF2" w:rsidRDefault="000E45FC" w:rsidP="00860CF2">
      <w:pPr>
        <w:spacing w:after="0" w:line="240" w:lineRule="auto"/>
        <w:jc w:val="both"/>
        <w:rPr>
          <w:rFonts w:cstheme="minorHAnsi"/>
          <w:b/>
        </w:rPr>
      </w:pPr>
    </w:p>
    <w:p w:rsidR="000E45FC" w:rsidRPr="00860CF2" w:rsidRDefault="000E45FC" w:rsidP="00860CF2">
      <w:pPr>
        <w:spacing w:after="0" w:line="240" w:lineRule="auto"/>
        <w:jc w:val="both"/>
        <w:rPr>
          <w:rFonts w:cstheme="minorHAnsi"/>
          <w:b/>
        </w:rPr>
      </w:pPr>
      <w:r w:rsidRPr="00860CF2">
        <w:rPr>
          <w:rFonts w:cstheme="minorHAnsi"/>
          <w:b/>
        </w:rPr>
        <w:t>Rozpočet programu</w:t>
      </w:r>
    </w:p>
    <w:p w:rsidR="00860CF2" w:rsidRPr="00860CF2" w:rsidRDefault="00860CF2" w:rsidP="00860CF2">
      <w:pPr>
        <w:spacing w:after="0" w:line="240" w:lineRule="auto"/>
        <w:jc w:val="both"/>
        <w:rPr>
          <w:rFonts w:cstheme="minorHAnsi"/>
        </w:rPr>
      </w:pPr>
    </w:p>
    <w:p w:rsidR="000E45FC" w:rsidRPr="00860CF2" w:rsidRDefault="000E45FC" w:rsidP="00860CF2">
      <w:pPr>
        <w:spacing w:after="0" w:line="240" w:lineRule="auto"/>
        <w:jc w:val="both"/>
        <w:rPr>
          <w:rFonts w:cstheme="minorHAnsi"/>
        </w:rPr>
      </w:pPr>
      <w:r w:rsidRPr="00860CF2">
        <w:rPr>
          <w:rFonts w:cstheme="minorHAnsi"/>
        </w:rPr>
        <w:t xml:space="preserve">Program festivalů má v rozpočtu kapitoly MK samostatný řádek. V roce 2016 bylo </w:t>
      </w:r>
      <w:r w:rsidR="000E46AA" w:rsidRPr="00860CF2">
        <w:rPr>
          <w:rFonts w:cstheme="minorHAnsi"/>
        </w:rPr>
        <w:t>konstatováno</w:t>
      </w:r>
      <w:r w:rsidRPr="00860CF2">
        <w:rPr>
          <w:rFonts w:cstheme="minorHAnsi"/>
        </w:rPr>
        <w:t xml:space="preserve">, že MK program nebude realizovat, pokud na něj nebude vyčleněno alespoň 100 mil. Kč. Hlavní ideou bylo, aby existence dotačního titulu pro velké festivaly neohrozila rozpočty tradičních oborových dotačních řízení – aby velké akce nebyly dotovány na úkor těch drobných, na státních dotacích více závislých. </w:t>
      </w:r>
      <w:r w:rsidR="000B0A57" w:rsidRPr="00860CF2">
        <w:rPr>
          <w:rFonts w:cstheme="minorHAnsi"/>
        </w:rPr>
        <w:t>Ukazuje se, že</w:t>
      </w:r>
      <w:r w:rsidRPr="00860CF2">
        <w:rPr>
          <w:rFonts w:cstheme="minorHAnsi"/>
        </w:rPr>
        <w:t xml:space="preserve"> požadavky žadatelů i počet předložených projektů meziročně </w:t>
      </w:r>
      <w:r w:rsidR="000B0A57" w:rsidRPr="00860CF2">
        <w:rPr>
          <w:rFonts w:cstheme="minorHAnsi"/>
        </w:rPr>
        <w:t xml:space="preserve">narůstají </w:t>
      </w:r>
      <w:r w:rsidRPr="00860CF2">
        <w:rPr>
          <w:rFonts w:cstheme="minorHAnsi"/>
        </w:rPr>
        <w:t xml:space="preserve">a původně odhadovaná částka </w:t>
      </w:r>
      <w:r w:rsidR="000B0A57" w:rsidRPr="00860CF2">
        <w:rPr>
          <w:rFonts w:cstheme="minorHAnsi"/>
        </w:rPr>
        <w:t xml:space="preserve">pro úspěšnou realizaci programu přestává stačit. </w:t>
      </w:r>
    </w:p>
    <w:p w:rsidR="000E45FC" w:rsidRPr="00860CF2" w:rsidRDefault="000E45FC" w:rsidP="00860CF2">
      <w:pPr>
        <w:spacing w:before="240" w:after="0" w:line="240" w:lineRule="auto"/>
        <w:jc w:val="both"/>
        <w:rPr>
          <w:rFonts w:cstheme="minorHAnsi"/>
        </w:rPr>
      </w:pPr>
      <w:r w:rsidRPr="00860CF2">
        <w:rPr>
          <w:rFonts w:cstheme="minorHAnsi"/>
          <w:noProof/>
          <w:lang w:eastAsia="cs-CZ"/>
        </w:rPr>
        <w:drawing>
          <wp:inline distT="0" distB="0" distL="0" distR="0" wp14:anchorId="33A6E4C7" wp14:editId="24A37A37">
            <wp:extent cx="5143500" cy="7715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CF2">
        <w:rPr>
          <w:rFonts w:cstheme="minorHAnsi"/>
        </w:rPr>
        <w:t xml:space="preserve">   </w:t>
      </w:r>
    </w:p>
    <w:p w:rsidR="000E45FC" w:rsidRDefault="000E45FC" w:rsidP="00860CF2">
      <w:pPr>
        <w:spacing w:before="240" w:after="0" w:line="240" w:lineRule="auto"/>
        <w:jc w:val="both"/>
        <w:rPr>
          <w:rFonts w:cstheme="minorHAnsi"/>
        </w:rPr>
      </w:pPr>
      <w:r w:rsidRPr="00860CF2">
        <w:rPr>
          <w:rFonts w:cstheme="minorHAnsi"/>
        </w:rPr>
        <w:t>Nejlépe byl program „zafinancován“ v roce 2021, největší meziroční i celkový propad v možnosti uspokojit požadavky je v letošním roce. To je způsobeno celkovým krácením rozpočtu MK na rok 2022, mimo jiné v  ukazateli Kulturní aktivity, které zásadním způsobem dopadá na všechna dotační řízení</w:t>
      </w:r>
      <w:r w:rsidRPr="00860CF2">
        <w:rPr>
          <w:rFonts w:cstheme="minorHAnsi"/>
          <w:b/>
        </w:rPr>
        <w:t xml:space="preserve"> </w:t>
      </w:r>
      <w:r w:rsidRPr="00860CF2">
        <w:rPr>
          <w:rFonts w:cstheme="minorHAnsi"/>
        </w:rPr>
        <w:t>v oblasti profesionálního umění.</w:t>
      </w:r>
    </w:p>
    <w:p w:rsidR="00052D98" w:rsidRPr="00860CF2" w:rsidRDefault="00052D98" w:rsidP="00860CF2">
      <w:pPr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t>Zdůrazňujeme, že Ministerstvo kultury se nemůže zavázat k poskytování dotací, pokud je nemá zajištěny ve své rozpočtové kapitole.</w:t>
      </w:r>
    </w:p>
    <w:p w:rsidR="000E45FC" w:rsidRPr="00860CF2" w:rsidRDefault="000E45FC" w:rsidP="00860CF2">
      <w:pPr>
        <w:spacing w:after="0" w:line="240" w:lineRule="auto"/>
        <w:jc w:val="both"/>
        <w:rPr>
          <w:rFonts w:cstheme="minorHAnsi"/>
          <w:b/>
        </w:rPr>
      </w:pPr>
    </w:p>
    <w:p w:rsidR="000E45FC" w:rsidRPr="00860CF2" w:rsidRDefault="000E45FC" w:rsidP="00860CF2">
      <w:pPr>
        <w:spacing w:after="0" w:line="240" w:lineRule="auto"/>
        <w:jc w:val="both"/>
        <w:rPr>
          <w:rFonts w:cstheme="minorHAnsi"/>
          <w:b/>
        </w:rPr>
      </w:pPr>
      <w:r w:rsidRPr="00860CF2">
        <w:rPr>
          <w:rFonts w:cstheme="minorHAnsi"/>
          <w:b/>
        </w:rPr>
        <w:t>Problém rozdělení rozpočtu mezi obory</w:t>
      </w:r>
    </w:p>
    <w:p w:rsidR="00860CF2" w:rsidRPr="00860CF2" w:rsidRDefault="00860CF2" w:rsidP="00860CF2">
      <w:pPr>
        <w:spacing w:after="0" w:line="240" w:lineRule="auto"/>
        <w:jc w:val="both"/>
        <w:rPr>
          <w:rFonts w:cstheme="minorHAnsi"/>
        </w:rPr>
      </w:pPr>
    </w:p>
    <w:p w:rsidR="00860CF2" w:rsidRDefault="000E45FC" w:rsidP="00384639">
      <w:pPr>
        <w:spacing w:after="0" w:line="240" w:lineRule="auto"/>
        <w:jc w:val="both"/>
        <w:rPr>
          <w:rFonts w:cstheme="minorHAnsi"/>
          <w:b/>
        </w:rPr>
      </w:pPr>
      <w:r w:rsidRPr="00860CF2">
        <w:rPr>
          <w:rFonts w:cstheme="minorHAnsi"/>
        </w:rPr>
        <w:t xml:space="preserve">Diskuse ohledně rozdělení finančních prostředků mezi jednotlivé umělecké obory provází festivalový program po celou dobu jeho existence. V prvních ročnících vycházelo rozdělení rozpočtu z podílu požadavků přijatých žádostí v jednotlivých oborech (rozpočet bylo třeba rozdělit dříve, než byly jednotlivé projekty hodnoceny komisemi, a tak nebylo možné zohlednit přiměřenost těchto požadavků ani kvalitu projektu). V roce 2019 </w:t>
      </w:r>
      <w:r w:rsidR="000B0A57" w:rsidRPr="00860CF2">
        <w:rPr>
          <w:rFonts w:cstheme="minorHAnsi"/>
        </w:rPr>
        <w:t xml:space="preserve">byl systém pozměněn, rozpočet nebyl předem rozdělen, </w:t>
      </w:r>
      <w:r w:rsidRPr="00860CF2">
        <w:rPr>
          <w:rFonts w:cstheme="minorHAnsi"/>
        </w:rPr>
        <w:t>komise navrhly každému projektu v oboru optimální částku a pak proběhlo plošné krácení</w:t>
      </w:r>
      <w:r w:rsidR="000B0A57" w:rsidRPr="00860CF2">
        <w:rPr>
          <w:rFonts w:cstheme="minorHAnsi"/>
        </w:rPr>
        <w:t xml:space="preserve">. I </w:t>
      </w:r>
      <w:r w:rsidRPr="00860CF2">
        <w:rPr>
          <w:rFonts w:cstheme="minorHAnsi"/>
        </w:rPr>
        <w:t xml:space="preserve">tehdy si ale některé obory stěžovaly, že byly tímto postupem poškozeny. V letech 2020 a 2021 byla situace komplikovaná pandemickou situací, na druhou stranu byla řada projektů dodatečně dofinancována díky </w:t>
      </w:r>
      <w:r w:rsidR="00052D98">
        <w:rPr>
          <w:rFonts w:cstheme="minorHAnsi"/>
        </w:rPr>
        <w:t xml:space="preserve">tzv. </w:t>
      </w:r>
      <w:r w:rsidRPr="00860CF2">
        <w:rPr>
          <w:rFonts w:cstheme="minorHAnsi"/>
        </w:rPr>
        <w:t xml:space="preserve">záchranným balíčkům a </w:t>
      </w:r>
      <w:r w:rsidR="000B0A57" w:rsidRPr="00860CF2">
        <w:rPr>
          <w:rFonts w:cstheme="minorHAnsi"/>
        </w:rPr>
        <w:t>byly upraveny</w:t>
      </w:r>
      <w:r w:rsidRPr="00860CF2">
        <w:rPr>
          <w:rFonts w:cstheme="minorHAnsi"/>
        </w:rPr>
        <w:t xml:space="preserve"> podmínky čerpání dotace tak, </w:t>
      </w:r>
      <w:r w:rsidR="000B0A57" w:rsidRPr="00860CF2">
        <w:rPr>
          <w:rFonts w:cstheme="minorHAnsi"/>
        </w:rPr>
        <w:t xml:space="preserve">aby </w:t>
      </w:r>
      <w:r w:rsidRPr="00860CF2">
        <w:rPr>
          <w:rFonts w:cstheme="minorHAnsi"/>
        </w:rPr>
        <w:t>příjemcům pomohl</w:t>
      </w:r>
      <w:r w:rsidR="000B0A57" w:rsidRPr="00860CF2">
        <w:rPr>
          <w:rFonts w:cstheme="minorHAnsi"/>
        </w:rPr>
        <w:t>y</w:t>
      </w:r>
      <w:r w:rsidRPr="00860CF2">
        <w:rPr>
          <w:rFonts w:cstheme="minorHAnsi"/>
        </w:rPr>
        <w:t xml:space="preserve"> vyrovnat se s mimořádnou situací: </w:t>
      </w:r>
      <w:r w:rsidR="000B0A57" w:rsidRPr="00860CF2">
        <w:rPr>
          <w:rFonts w:cstheme="minorHAnsi"/>
        </w:rPr>
        <w:t>ministerstvo kultury akceptovalo</w:t>
      </w:r>
      <w:r w:rsidRPr="00860CF2">
        <w:rPr>
          <w:rFonts w:cstheme="minorHAnsi"/>
        </w:rPr>
        <w:t xml:space="preserve"> veškeré změny v projektech, dotace bylo možné použít na tzv. zmarněné náklady. </w:t>
      </w:r>
    </w:p>
    <w:p w:rsidR="00384639" w:rsidRPr="00860CF2" w:rsidRDefault="00384639" w:rsidP="00384639">
      <w:pPr>
        <w:spacing w:after="0" w:line="240" w:lineRule="auto"/>
        <w:jc w:val="both"/>
        <w:rPr>
          <w:rFonts w:cstheme="minorHAnsi"/>
          <w:b/>
        </w:rPr>
      </w:pPr>
    </w:p>
    <w:p w:rsidR="000E45FC" w:rsidRPr="00860CF2" w:rsidRDefault="000E45FC" w:rsidP="00860CF2">
      <w:pPr>
        <w:spacing w:line="240" w:lineRule="auto"/>
        <w:jc w:val="both"/>
        <w:rPr>
          <w:rFonts w:cstheme="minorHAnsi"/>
          <w:b/>
        </w:rPr>
      </w:pPr>
      <w:r w:rsidRPr="00860CF2">
        <w:rPr>
          <w:rFonts w:cstheme="minorHAnsi"/>
          <w:b/>
        </w:rPr>
        <w:t>Metodika stanovení výše dotace</w:t>
      </w:r>
    </w:p>
    <w:p w:rsidR="00F03113" w:rsidRPr="00860CF2" w:rsidRDefault="000E45FC" w:rsidP="00DB206B">
      <w:pPr>
        <w:spacing w:line="240" w:lineRule="auto"/>
        <w:jc w:val="both"/>
        <w:rPr>
          <w:rFonts w:cstheme="minorHAnsi"/>
        </w:rPr>
      </w:pPr>
      <w:r w:rsidRPr="00860CF2">
        <w:rPr>
          <w:rFonts w:cstheme="minorHAnsi"/>
        </w:rPr>
        <w:t>Zavedení matematického propočtu umožňuje, aby jednotlivé projekty soutěžily mezi sebou za rovných podmínek</w:t>
      </w:r>
      <w:r w:rsidR="004D0319" w:rsidRPr="00860CF2">
        <w:rPr>
          <w:rFonts w:cstheme="minorHAnsi"/>
        </w:rPr>
        <w:t>, tj.</w:t>
      </w:r>
      <w:r w:rsidRPr="00860CF2">
        <w:rPr>
          <w:rFonts w:cstheme="minorHAnsi"/>
        </w:rPr>
        <w:t xml:space="preserve"> bez předchozího stanovení </w:t>
      </w:r>
      <w:r w:rsidR="004D0319" w:rsidRPr="00860CF2">
        <w:rPr>
          <w:rFonts w:cstheme="minorHAnsi"/>
        </w:rPr>
        <w:t>finančního limitu pro obor</w:t>
      </w:r>
      <w:r w:rsidRPr="00860CF2">
        <w:rPr>
          <w:rFonts w:cstheme="minorHAnsi"/>
        </w:rPr>
        <w:t xml:space="preserve">. </w:t>
      </w:r>
      <w:r w:rsidR="00F03113" w:rsidRPr="00860CF2">
        <w:rPr>
          <w:rFonts w:cstheme="minorHAnsi"/>
        </w:rPr>
        <w:t xml:space="preserve">Všechny obory mají společnou startovní čáru. </w:t>
      </w:r>
    </w:p>
    <w:p w:rsidR="00F03113" w:rsidRPr="00860CF2" w:rsidRDefault="00F03113" w:rsidP="00860CF2">
      <w:pPr>
        <w:spacing w:after="0" w:line="240" w:lineRule="auto"/>
        <w:jc w:val="both"/>
        <w:rPr>
          <w:rFonts w:cstheme="minorHAnsi"/>
        </w:rPr>
      </w:pPr>
    </w:p>
    <w:p w:rsidR="00F03113" w:rsidRPr="00860CF2" w:rsidRDefault="00F03113" w:rsidP="00860CF2">
      <w:pPr>
        <w:spacing w:after="0" w:line="240" w:lineRule="auto"/>
        <w:jc w:val="both"/>
        <w:rPr>
          <w:rFonts w:cstheme="minorHAnsi"/>
        </w:rPr>
      </w:pPr>
      <w:r w:rsidRPr="00860CF2">
        <w:rPr>
          <w:rFonts w:cstheme="minorHAnsi"/>
        </w:rPr>
        <w:lastRenderedPageBreak/>
        <w:t>Navrhovaný propočet v maximální možné míře respektuje bodové hodnocení komise – tak, aby byla tato hodnocení srovnatelná mezioborově, abychom vycházeli z kategorizace projektů, na nichž se komise shodla (součástí bodového hodnocení je i známka za přiměřenost nákladů a přiměřenost rozpočtu).</w:t>
      </w:r>
      <w:r w:rsidR="00D76DDC">
        <w:rPr>
          <w:rFonts w:cstheme="minorHAnsi"/>
        </w:rPr>
        <w:t xml:space="preserve"> Důležité je pořadí projektu v rámci oboru, ne jeho konkrétní bodové</w:t>
      </w:r>
      <w:r w:rsidR="00DB206B">
        <w:rPr>
          <w:rFonts w:cstheme="minorHAnsi"/>
        </w:rPr>
        <w:t xml:space="preserve"> skóre (příklad: nejlépe hodnocený projekt může v jednom oboru získat 92 bodů, v jiném 98). </w:t>
      </w:r>
    </w:p>
    <w:p w:rsidR="00DB206B" w:rsidRDefault="00DB206B" w:rsidP="00860CF2">
      <w:pPr>
        <w:spacing w:after="0" w:line="240" w:lineRule="auto"/>
        <w:jc w:val="both"/>
        <w:rPr>
          <w:rFonts w:cstheme="minorHAnsi"/>
        </w:rPr>
      </w:pPr>
    </w:p>
    <w:p w:rsidR="00F03113" w:rsidRPr="00860CF2" w:rsidRDefault="00F03113" w:rsidP="00860CF2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 w:rsidRPr="00860CF2">
        <w:rPr>
          <w:rFonts w:cstheme="minorHAnsi"/>
        </w:rPr>
        <w:t>V praxi to znamená, že se vyrovnávají šance uměleckých oborů na stejnou míru uspokojení finančních požadavků projektů přihlášených do aktuálního výběrového řízení. Tento trend je dobře vidět na připojených grafech.</w:t>
      </w:r>
    </w:p>
    <w:p w:rsidR="000A78DC" w:rsidRPr="00860CF2" w:rsidRDefault="000A78DC" w:rsidP="00860CF2">
      <w:pPr>
        <w:spacing w:after="0" w:line="240" w:lineRule="auto"/>
        <w:jc w:val="both"/>
        <w:rPr>
          <w:rFonts w:cstheme="minorHAnsi"/>
        </w:rPr>
      </w:pPr>
    </w:p>
    <w:p w:rsidR="000A78DC" w:rsidRPr="00860CF2" w:rsidRDefault="000A78DC" w:rsidP="00860CF2">
      <w:pPr>
        <w:spacing w:after="0" w:line="240" w:lineRule="auto"/>
        <w:rPr>
          <w:rFonts w:cstheme="minorHAnsi"/>
        </w:rPr>
      </w:pPr>
      <w:r w:rsidRPr="00860CF2">
        <w:rPr>
          <w:rFonts w:cstheme="minorHAnsi"/>
          <w:noProof/>
          <w:lang w:eastAsia="cs-CZ"/>
        </w:rPr>
        <w:drawing>
          <wp:inline distT="0" distB="0" distL="0" distR="0" wp14:anchorId="2E94543E" wp14:editId="0B709436">
            <wp:extent cx="6248400" cy="2838450"/>
            <wp:effectExtent l="0" t="0" r="19050" b="1905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78DC" w:rsidRPr="00860CF2" w:rsidRDefault="000A78DC" w:rsidP="00860CF2">
      <w:pPr>
        <w:spacing w:after="0" w:line="240" w:lineRule="auto"/>
        <w:rPr>
          <w:rFonts w:cstheme="minorHAnsi"/>
        </w:rPr>
      </w:pPr>
    </w:p>
    <w:p w:rsidR="000A78DC" w:rsidRPr="00860CF2" w:rsidRDefault="000A78DC" w:rsidP="00860CF2">
      <w:pPr>
        <w:spacing w:after="0" w:line="240" w:lineRule="auto"/>
        <w:rPr>
          <w:rFonts w:cstheme="minorHAnsi"/>
        </w:rPr>
      </w:pPr>
      <w:r w:rsidRPr="00860CF2">
        <w:rPr>
          <w:rFonts w:cstheme="minorHAnsi"/>
          <w:noProof/>
          <w:lang w:eastAsia="cs-CZ"/>
        </w:rPr>
        <w:drawing>
          <wp:inline distT="0" distB="0" distL="0" distR="0" wp14:anchorId="78F28C3E" wp14:editId="0BFB224F">
            <wp:extent cx="6200775" cy="2705100"/>
            <wp:effectExtent l="0" t="0" r="9525" b="1905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78DC" w:rsidRPr="00860CF2" w:rsidRDefault="000A78DC" w:rsidP="00860CF2">
      <w:pPr>
        <w:spacing w:after="0" w:line="240" w:lineRule="auto"/>
        <w:jc w:val="both"/>
        <w:rPr>
          <w:rFonts w:cstheme="minorHAnsi"/>
        </w:rPr>
      </w:pPr>
    </w:p>
    <w:p w:rsidR="00C202D3" w:rsidRDefault="00C202D3" w:rsidP="00C202D3">
      <w:pPr>
        <w:spacing w:after="0" w:line="240" w:lineRule="auto"/>
        <w:jc w:val="both"/>
        <w:rPr>
          <w:rFonts w:cstheme="minorHAnsi"/>
        </w:rPr>
      </w:pPr>
      <w:r w:rsidRPr="00C202D3">
        <w:rPr>
          <w:rFonts w:cstheme="minorHAnsi"/>
        </w:rPr>
        <w:t xml:space="preserve">Proč ministerstvo kultury používá tento systém? </w:t>
      </w:r>
    </w:p>
    <w:p w:rsidR="00742F42" w:rsidRPr="00DB206B" w:rsidRDefault="00742F42" w:rsidP="00DB20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B206B">
        <w:rPr>
          <w:rFonts w:cstheme="minorHAnsi"/>
        </w:rPr>
        <w:t>Zvyšuje transparentnost a objektivitu výběrového řízení.</w:t>
      </w:r>
    </w:p>
    <w:p w:rsidR="00C202D3" w:rsidRPr="00DB206B" w:rsidRDefault="00C202D3" w:rsidP="00DB20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B206B">
        <w:rPr>
          <w:rFonts w:cstheme="minorHAnsi"/>
        </w:rPr>
        <w:t>Nedělí</w:t>
      </w:r>
      <w:r w:rsidRPr="00DB206B">
        <w:rPr>
          <w:rFonts w:cstheme="minorHAnsi"/>
        </w:rPr>
        <w:t xml:space="preserve"> rozpočet </w:t>
      </w:r>
      <w:r w:rsidRPr="00DB206B">
        <w:rPr>
          <w:rFonts w:cstheme="minorHAnsi"/>
        </w:rPr>
        <w:t xml:space="preserve">předem mezi umělecké obory, </w:t>
      </w:r>
      <w:r w:rsidRPr="00DB206B">
        <w:rPr>
          <w:rFonts w:cstheme="minorHAnsi"/>
        </w:rPr>
        <w:t>vše</w:t>
      </w:r>
      <w:r w:rsidRPr="00DB206B">
        <w:rPr>
          <w:rFonts w:cstheme="minorHAnsi"/>
        </w:rPr>
        <w:t>chny projekty mají rovné podmínky</w:t>
      </w:r>
      <w:r w:rsidRPr="00DB206B">
        <w:rPr>
          <w:rFonts w:cstheme="minorHAnsi"/>
        </w:rPr>
        <w:t>.</w:t>
      </w:r>
    </w:p>
    <w:p w:rsidR="00C202D3" w:rsidRPr="00DB206B" w:rsidRDefault="00742F42" w:rsidP="00DB20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B206B">
        <w:rPr>
          <w:rFonts w:cstheme="minorHAnsi"/>
        </w:rPr>
        <w:t>Bere v úvahu výši nákladů jednotlivých projektů a jejich strukturu, přičemž n</w:t>
      </w:r>
      <w:r w:rsidR="00C202D3" w:rsidRPr="00DB206B">
        <w:rPr>
          <w:rFonts w:cstheme="minorHAnsi"/>
        </w:rPr>
        <w:t>eznevýhodňuje projekty se skromnými rozpočty</w:t>
      </w:r>
      <w:r w:rsidR="00C202D3" w:rsidRPr="00DB206B">
        <w:rPr>
          <w:rFonts w:cstheme="minorHAnsi"/>
        </w:rPr>
        <w:t>.</w:t>
      </w:r>
    </w:p>
    <w:p w:rsidR="006773C4" w:rsidRPr="00DB206B" w:rsidRDefault="00742F42" w:rsidP="00DB20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B206B">
        <w:rPr>
          <w:rFonts w:cstheme="minorHAnsi"/>
        </w:rPr>
        <w:t>E</w:t>
      </w:r>
      <w:r w:rsidR="00C202D3" w:rsidRPr="00DB206B">
        <w:rPr>
          <w:rFonts w:cstheme="minorHAnsi"/>
        </w:rPr>
        <w:t>liminuje extrémní výkyvy v</w:t>
      </w:r>
      <w:r w:rsidRPr="00DB206B">
        <w:rPr>
          <w:rFonts w:cstheme="minorHAnsi"/>
        </w:rPr>
        <w:t xml:space="preserve"> bodovém </w:t>
      </w:r>
      <w:r w:rsidR="00C202D3" w:rsidRPr="00DB206B">
        <w:rPr>
          <w:rFonts w:cstheme="minorHAnsi"/>
        </w:rPr>
        <w:t>hodnocení členů komise i rozdílné hladiny hodnocení napříč obory.</w:t>
      </w:r>
      <w:r w:rsidRPr="00DB206B">
        <w:rPr>
          <w:rFonts w:cstheme="minorHAnsi"/>
        </w:rPr>
        <w:t xml:space="preserve"> </w:t>
      </w:r>
    </w:p>
    <w:sectPr w:rsidR="006773C4" w:rsidRPr="00DB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451C4"/>
    <w:multiLevelType w:val="hybridMultilevel"/>
    <w:tmpl w:val="7682EE64"/>
    <w:lvl w:ilvl="0" w:tplc="55262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23C54"/>
    <w:multiLevelType w:val="hybridMultilevel"/>
    <w:tmpl w:val="4E1E3AB0"/>
    <w:lvl w:ilvl="0" w:tplc="55262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17DF5"/>
    <w:multiLevelType w:val="hybridMultilevel"/>
    <w:tmpl w:val="B58C5E62"/>
    <w:lvl w:ilvl="0" w:tplc="55262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íková Jana">
    <w15:presenceInfo w15:providerId="AD" w15:userId="S-1-5-21-4227183352-518495873-3737859760-98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7F"/>
    <w:rsid w:val="00052D98"/>
    <w:rsid w:val="00060D85"/>
    <w:rsid w:val="000A78DC"/>
    <w:rsid w:val="000B0A57"/>
    <w:rsid w:val="000E45FC"/>
    <w:rsid w:val="000E46AA"/>
    <w:rsid w:val="000F7E8C"/>
    <w:rsid w:val="00161C3C"/>
    <w:rsid w:val="002B4D41"/>
    <w:rsid w:val="00384639"/>
    <w:rsid w:val="004271AB"/>
    <w:rsid w:val="00463ACE"/>
    <w:rsid w:val="004D0319"/>
    <w:rsid w:val="006773C4"/>
    <w:rsid w:val="00742F42"/>
    <w:rsid w:val="00796C2D"/>
    <w:rsid w:val="00822ACB"/>
    <w:rsid w:val="00860CF2"/>
    <w:rsid w:val="008C527F"/>
    <w:rsid w:val="008D6F48"/>
    <w:rsid w:val="00941803"/>
    <w:rsid w:val="00A512AB"/>
    <w:rsid w:val="00C202D3"/>
    <w:rsid w:val="00D76DDC"/>
    <w:rsid w:val="00DB206B"/>
    <w:rsid w:val="00E15507"/>
    <w:rsid w:val="00F03113"/>
    <w:rsid w:val="00F654C6"/>
    <w:rsid w:val="00F7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6C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3C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52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2D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2D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2D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2D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6C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3C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52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2D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2D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2D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2D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NPV14\rdf$\z.zahradnickova\Documents\3%20program%20festival&#367;\data%20a%20grafy%202017%20az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NPV14\rdf$\z.zahradnickova\Documents\3%20program%20festival&#367;\data%20a%20grafy%202017%20az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100"/>
              <a:t>Požadavky</a:t>
            </a:r>
            <a:r>
              <a:rPr lang="cs-CZ" sz="1100"/>
              <a:t> uměleckých</a:t>
            </a:r>
            <a:r>
              <a:rPr lang="cs-CZ" sz="1100" baseline="0"/>
              <a:t> oborů v Programu festivalů</a:t>
            </a:r>
            <a:r>
              <a:rPr lang="en-US" sz="1100"/>
              <a:t> 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[2]data!$B$3</c:f>
              <c:strCache>
                <c:ptCount val="1"/>
                <c:pt idx="0">
                  <c:v>divadlo</c:v>
                </c:pt>
              </c:strCache>
            </c:strRef>
          </c:tx>
          <c:invertIfNegative val="0"/>
          <c:cat>
            <c:numRef>
              <c:f>[2]data!$C$2:$H$2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[2]data!$C$3:$H$3</c:f>
              <c:numCache>
                <c:formatCode>#,##0</c:formatCode>
                <c:ptCount val="6"/>
                <c:pt idx="0">
                  <c:v>29958800</c:v>
                </c:pt>
                <c:pt idx="1">
                  <c:v>42496000</c:v>
                </c:pt>
                <c:pt idx="2">
                  <c:v>33550000</c:v>
                </c:pt>
                <c:pt idx="3">
                  <c:v>48045000</c:v>
                </c:pt>
                <c:pt idx="4">
                  <c:v>31503000</c:v>
                </c:pt>
                <c:pt idx="5">
                  <c:v>54265000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AE-4614-A475-3A38040658CF}"/>
            </c:ext>
          </c:extLst>
        </c:ser>
        <c:ser>
          <c:idx val="1"/>
          <c:order val="1"/>
          <c:tx>
            <c:strRef>
              <c:f>[2]data!$B$4</c:f>
              <c:strCache>
                <c:ptCount val="1"/>
                <c:pt idx="0">
                  <c:v>tanec</c:v>
                </c:pt>
              </c:strCache>
            </c:strRef>
          </c:tx>
          <c:invertIfNegative val="0"/>
          <c:cat>
            <c:numRef>
              <c:f>[2]data!$C$2:$H$2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[2]data!$C$4:$H$4</c:f>
              <c:numCache>
                <c:formatCode>#,##0</c:formatCode>
                <c:ptCount val="6"/>
                <c:pt idx="0">
                  <c:v>10539000</c:v>
                </c:pt>
                <c:pt idx="1">
                  <c:v>12731000</c:v>
                </c:pt>
                <c:pt idx="2">
                  <c:v>11992000</c:v>
                </c:pt>
                <c:pt idx="3">
                  <c:v>16290000</c:v>
                </c:pt>
                <c:pt idx="4">
                  <c:v>20056000</c:v>
                </c:pt>
                <c:pt idx="5">
                  <c:v>23407000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AE-4614-A475-3A38040658CF}"/>
            </c:ext>
          </c:extLst>
        </c:ser>
        <c:ser>
          <c:idx val="2"/>
          <c:order val="2"/>
          <c:tx>
            <c:strRef>
              <c:f>[2]data!$B$5</c:f>
              <c:strCache>
                <c:ptCount val="1"/>
                <c:pt idx="0">
                  <c:v>klasika</c:v>
                </c:pt>
              </c:strCache>
            </c:strRef>
          </c:tx>
          <c:invertIfNegative val="0"/>
          <c:cat>
            <c:numRef>
              <c:f>[2]data!$C$2:$H$2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[2]data!$C$5:$H$5</c:f>
              <c:numCache>
                <c:formatCode>#,##0</c:formatCode>
                <c:ptCount val="6"/>
                <c:pt idx="0">
                  <c:v>70896000</c:v>
                </c:pt>
                <c:pt idx="1">
                  <c:v>75351000</c:v>
                </c:pt>
                <c:pt idx="2">
                  <c:v>81451000</c:v>
                </c:pt>
                <c:pt idx="3">
                  <c:v>83678000</c:v>
                </c:pt>
                <c:pt idx="4">
                  <c:v>105636000</c:v>
                </c:pt>
                <c:pt idx="5">
                  <c:v>100495339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AE-4614-A475-3A38040658CF}"/>
            </c:ext>
          </c:extLst>
        </c:ser>
        <c:ser>
          <c:idx val="3"/>
          <c:order val="3"/>
          <c:tx>
            <c:strRef>
              <c:f>[2]data!$B$6</c:f>
              <c:strCache>
                <c:ptCount val="1"/>
                <c:pt idx="0">
                  <c:v>alternativa</c:v>
                </c:pt>
              </c:strCache>
            </c:strRef>
          </c:tx>
          <c:invertIfNegative val="0"/>
          <c:cat>
            <c:numRef>
              <c:f>[2]data!$C$2:$H$2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[2]data!$C$6:$H$6</c:f>
              <c:numCache>
                <c:formatCode>#,##0</c:formatCode>
                <c:ptCount val="6"/>
                <c:pt idx="0">
                  <c:v>12700000</c:v>
                </c:pt>
                <c:pt idx="1">
                  <c:v>18351000</c:v>
                </c:pt>
                <c:pt idx="2">
                  <c:v>29219000</c:v>
                </c:pt>
                <c:pt idx="3">
                  <c:v>30078000</c:v>
                </c:pt>
                <c:pt idx="4">
                  <c:v>58875000</c:v>
                </c:pt>
                <c:pt idx="5">
                  <c:v>67891500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5AE-4614-A475-3A38040658CF}"/>
            </c:ext>
          </c:extLst>
        </c:ser>
        <c:ser>
          <c:idx val="4"/>
          <c:order val="4"/>
          <c:tx>
            <c:strRef>
              <c:f>[2]data!$B$7</c:f>
              <c:strCache>
                <c:ptCount val="1"/>
                <c:pt idx="0">
                  <c:v>výtvarno</c:v>
                </c:pt>
              </c:strCache>
            </c:strRef>
          </c:tx>
          <c:invertIfNegative val="0"/>
          <c:cat>
            <c:numRef>
              <c:f>[2]data!$C$2:$H$2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[2]data!$C$7:$H$7</c:f>
              <c:numCache>
                <c:formatCode>#,##0</c:formatCode>
                <c:ptCount val="6"/>
                <c:pt idx="0">
                  <c:v>6360000</c:v>
                </c:pt>
                <c:pt idx="1">
                  <c:v>21280000</c:v>
                </c:pt>
                <c:pt idx="2">
                  <c:v>19921800</c:v>
                </c:pt>
                <c:pt idx="3">
                  <c:v>20384754</c:v>
                </c:pt>
                <c:pt idx="4">
                  <c:v>22007916</c:v>
                </c:pt>
                <c:pt idx="5">
                  <c:v>24900480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5AE-4614-A475-3A38040658CF}"/>
            </c:ext>
          </c:extLst>
        </c:ser>
        <c:ser>
          <c:idx val="5"/>
          <c:order val="5"/>
          <c:tx>
            <c:strRef>
              <c:f>[2]data!$B$8</c:f>
              <c:strCache>
                <c:ptCount val="1"/>
                <c:pt idx="0">
                  <c:v>literatura</c:v>
                </c:pt>
              </c:strCache>
            </c:strRef>
          </c:tx>
          <c:invertIfNegative val="0"/>
          <c:cat>
            <c:numRef>
              <c:f>[2]data!$C$2:$H$2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[2]data!$C$8:$H$8</c:f>
              <c:numCache>
                <c:formatCode>#,##0</c:formatCode>
                <c:ptCount val="6"/>
                <c:pt idx="0">
                  <c:v>5555000</c:v>
                </c:pt>
                <c:pt idx="1">
                  <c:v>6500000</c:v>
                </c:pt>
                <c:pt idx="2">
                  <c:v>6500000</c:v>
                </c:pt>
                <c:pt idx="3">
                  <c:v>5500000</c:v>
                </c:pt>
                <c:pt idx="4">
                  <c:v>4500000</c:v>
                </c:pt>
                <c:pt idx="5">
                  <c:v>7500000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5AE-4614-A475-3A38040658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957504"/>
        <c:axId val="195959040"/>
      </c:barChart>
      <c:catAx>
        <c:axId val="19595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5959040"/>
        <c:crosses val="autoZero"/>
        <c:auto val="1"/>
        <c:lblAlgn val="ctr"/>
        <c:lblOffset val="100"/>
        <c:noMultiLvlLbl val="0"/>
      </c:catAx>
      <c:valAx>
        <c:axId val="19595904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959575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100"/>
              <a:t>Míra uspokojení požadavků v jednotlivých oborech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9262940969588097E-2"/>
          <c:y val="0.14725305006165568"/>
          <c:w val="0.82870350508512014"/>
          <c:h val="0.76507712126535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[2]data!$B$22</c:f>
              <c:strCache>
                <c:ptCount val="1"/>
                <c:pt idx="0">
                  <c:v>divadlo</c:v>
                </c:pt>
              </c:strCache>
            </c:strRef>
          </c:tx>
          <c:invertIfNegative val="0"/>
          <c:cat>
            <c:numRef>
              <c:f>[2]data!$C$21:$H$21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[2]data!$C$22:$H$22</c:f>
              <c:numCache>
                <c:formatCode>0%</c:formatCode>
                <c:ptCount val="6"/>
                <c:pt idx="0">
                  <c:v>0.74769349907205895</c:v>
                </c:pt>
                <c:pt idx="1">
                  <c:v>0.69418298192771088</c:v>
                </c:pt>
                <c:pt idx="2">
                  <c:v>0.76600000000000001</c:v>
                </c:pt>
                <c:pt idx="3">
                  <c:v>0.82526797793735041</c:v>
                </c:pt>
                <c:pt idx="4">
                  <c:v>0.85737866234961746</c:v>
                </c:pt>
                <c:pt idx="5">
                  <c:v>0.69016216714272549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62-4DE0-BA53-D428F1ADD435}"/>
            </c:ext>
          </c:extLst>
        </c:ser>
        <c:ser>
          <c:idx val="1"/>
          <c:order val="1"/>
          <c:tx>
            <c:strRef>
              <c:f>[2]data!$B$23</c:f>
              <c:strCache>
                <c:ptCount val="1"/>
                <c:pt idx="0">
                  <c:v>tanec</c:v>
                </c:pt>
              </c:strCache>
            </c:strRef>
          </c:tx>
          <c:invertIfNegative val="0"/>
          <c:cat>
            <c:numRef>
              <c:f>[2]data!$C$21:$H$21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[2]data!$C$23:$H$23</c:f>
              <c:numCache>
                <c:formatCode>0%</c:formatCode>
                <c:ptCount val="6"/>
                <c:pt idx="0">
                  <c:v>0.83499383243191949</c:v>
                </c:pt>
                <c:pt idx="1">
                  <c:v>0.76191972350954362</c:v>
                </c:pt>
                <c:pt idx="2">
                  <c:v>0.86724482988659102</c:v>
                </c:pt>
                <c:pt idx="3">
                  <c:v>0.74278698588090852</c:v>
                </c:pt>
                <c:pt idx="4">
                  <c:v>0.8398982848025528</c:v>
                </c:pt>
                <c:pt idx="5">
                  <c:v>0.57033665142905965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62-4DE0-BA53-D428F1ADD435}"/>
            </c:ext>
          </c:extLst>
        </c:ser>
        <c:ser>
          <c:idx val="2"/>
          <c:order val="2"/>
          <c:tx>
            <c:strRef>
              <c:f>[2]data!$B$24</c:f>
              <c:strCache>
                <c:ptCount val="1"/>
                <c:pt idx="0">
                  <c:v>klasika</c:v>
                </c:pt>
              </c:strCache>
            </c:strRef>
          </c:tx>
          <c:invertIfNegative val="0"/>
          <c:cat>
            <c:numRef>
              <c:f>[2]data!$C$21:$H$21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[2]data!$C$24:$H$24</c:f>
              <c:numCache>
                <c:formatCode>0%</c:formatCode>
                <c:ptCount val="6"/>
                <c:pt idx="0">
                  <c:v>0.73628977657413675</c:v>
                </c:pt>
                <c:pt idx="1">
                  <c:v>0.76309538028692381</c:v>
                </c:pt>
                <c:pt idx="2">
                  <c:v>0.73418374237271489</c:v>
                </c:pt>
                <c:pt idx="3">
                  <c:v>0.73257009010731611</c:v>
                </c:pt>
                <c:pt idx="4">
                  <c:v>0.79253284865008145</c:v>
                </c:pt>
                <c:pt idx="5">
                  <c:v>0.69937528933555804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762-4DE0-BA53-D428F1ADD435}"/>
            </c:ext>
          </c:extLst>
        </c:ser>
        <c:ser>
          <c:idx val="3"/>
          <c:order val="3"/>
          <c:tx>
            <c:strRef>
              <c:f>[2]data!$B$25</c:f>
              <c:strCache>
                <c:ptCount val="1"/>
                <c:pt idx="0">
                  <c:v>alternativa</c:v>
                </c:pt>
              </c:strCache>
            </c:strRef>
          </c:tx>
          <c:invertIfNegative val="0"/>
          <c:cat>
            <c:numRef>
              <c:f>[2]data!$C$21:$H$21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[2]data!$C$25:$H$25</c:f>
              <c:numCache>
                <c:formatCode>0%</c:formatCode>
                <c:ptCount val="6"/>
                <c:pt idx="0">
                  <c:v>0.66141732283464572</c:v>
                </c:pt>
                <c:pt idx="1">
                  <c:v>0.46319001689281236</c:v>
                </c:pt>
                <c:pt idx="2">
                  <c:v>0.53389917519422292</c:v>
                </c:pt>
                <c:pt idx="3">
                  <c:v>0.53195026265044221</c:v>
                </c:pt>
                <c:pt idx="4">
                  <c:v>0.61605095541401278</c:v>
                </c:pt>
                <c:pt idx="5">
                  <c:v>0.59407311666408902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762-4DE0-BA53-D428F1ADD435}"/>
            </c:ext>
          </c:extLst>
        </c:ser>
        <c:ser>
          <c:idx val="4"/>
          <c:order val="4"/>
          <c:tx>
            <c:strRef>
              <c:f>[2]data!$B$26</c:f>
              <c:strCache>
                <c:ptCount val="1"/>
                <c:pt idx="0">
                  <c:v>výtvarno</c:v>
                </c:pt>
              </c:strCache>
            </c:strRef>
          </c:tx>
          <c:invertIfNegative val="0"/>
          <c:cat>
            <c:numRef>
              <c:f>[2]data!$C$21:$H$21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[2]data!$C$26:$H$26</c:f>
              <c:numCache>
                <c:formatCode>0%</c:formatCode>
                <c:ptCount val="6"/>
                <c:pt idx="0">
                  <c:v>0.660377358490566</c:v>
                </c:pt>
                <c:pt idx="1">
                  <c:v>0.37593984962406013</c:v>
                </c:pt>
                <c:pt idx="2">
                  <c:v>0.6299631559397243</c:v>
                </c:pt>
                <c:pt idx="3">
                  <c:v>0.63037307195367676</c:v>
                </c:pt>
                <c:pt idx="4">
                  <c:v>0.74041540325762789</c:v>
                </c:pt>
                <c:pt idx="5">
                  <c:v>0.58362878145320896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762-4DE0-BA53-D428F1ADD435}"/>
            </c:ext>
          </c:extLst>
        </c:ser>
        <c:ser>
          <c:idx val="5"/>
          <c:order val="5"/>
          <c:tx>
            <c:strRef>
              <c:f>[2]data!$B$27</c:f>
              <c:strCache>
                <c:ptCount val="1"/>
                <c:pt idx="0">
                  <c:v>literatura</c:v>
                </c:pt>
              </c:strCache>
            </c:strRef>
          </c:tx>
          <c:invertIfNegative val="0"/>
          <c:cat>
            <c:numRef>
              <c:f>[2]data!$C$21:$H$21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[2]data!$C$27:$H$27</c:f>
              <c:numCache>
                <c:formatCode>0%</c:formatCode>
                <c:ptCount val="6"/>
                <c:pt idx="0">
                  <c:v>0.72007200720072007</c:v>
                </c:pt>
                <c:pt idx="1">
                  <c:v>0.61538461538461542</c:v>
                </c:pt>
                <c:pt idx="2">
                  <c:v>0.61538461538461542</c:v>
                </c:pt>
                <c:pt idx="3">
                  <c:v>0.8545454545454545</c:v>
                </c:pt>
                <c:pt idx="4">
                  <c:v>0.72777777777777775</c:v>
                </c:pt>
                <c:pt idx="5">
                  <c:v>0.61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762-4DE0-BA53-D428F1ADD4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002560"/>
        <c:axId val="196004096"/>
      </c:barChart>
      <c:catAx>
        <c:axId val="19600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6004096"/>
        <c:crosses val="autoZero"/>
        <c:auto val="1"/>
        <c:lblAlgn val="ctr"/>
        <c:lblOffset val="100"/>
        <c:noMultiLvlLbl val="0"/>
      </c:catAx>
      <c:valAx>
        <c:axId val="1960040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60025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3379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2</cp:revision>
  <cp:lastPrinted>2022-04-27T13:17:00Z</cp:lastPrinted>
  <dcterms:created xsi:type="dcterms:W3CDTF">2022-04-27T13:59:00Z</dcterms:created>
  <dcterms:modified xsi:type="dcterms:W3CDTF">2022-04-27T13:59:00Z</dcterms:modified>
</cp:coreProperties>
</file>