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C48" w:rsidRPr="00EE4106" w:rsidRDefault="00D76C48" w:rsidP="00EE4106">
      <w:pPr>
        <w:tabs>
          <w:tab w:val="left" w:pos="3898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EE4106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5 – rok 2025</w:t>
      </w:r>
      <w:r w:rsidRPr="00EE4106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Eva Formánková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Ústav pro českou literaturu Akademie věd ČR, </w:t>
      </w:r>
      <w:proofErr w:type="spellStart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v.v.i</w:t>
      </w:r>
      <w:proofErr w:type="spellEnd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. Knihovna Ústavu pro českou literaturu AV ČR, </w:t>
      </w:r>
      <w:proofErr w:type="spellStart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v.v.i</w:t>
      </w:r>
      <w:proofErr w:type="spellEnd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.</w:t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Zuzana Hájková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Jihočeská vědecká knihovna v Českých Budějovicích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Hana Hornychová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Studijní a vědecká knihovna v Hradci Králové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Anna Kašparová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Severočeské muzeum v Liberci, příspěvková organizace. Knihovna Severočeského muzea v Liberci</w:t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Jaroslava Svobodová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Helena Trinkewitzová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Knihovna AV ČR, v. v. i.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Dominika Vodáková</w:t>
      </w:r>
      <w:r w:rsidR="00667EF6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Moravská zemská knihovna v Brně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EA3E92" w:rsidRPr="00842BDC" w:rsidRDefault="00EA3E92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C6612C" w:rsidRPr="00842BDC" w:rsidRDefault="00C6612C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Odborná </w:t>
      </w:r>
      <w:proofErr w:type="spellStart"/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arant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ka</w:t>
      </w:r>
      <w:proofErr w:type="spellEnd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: Mgr. Nataša Mikšovská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EE4106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D1E43-57FC-4B0F-8C62-4B8B3D72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2025-03-13T10:38:00Z</dcterms:modified>
</cp:coreProperties>
</file>