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1" w:rsidRDefault="007B6401" w:rsidP="007B6401">
      <w:pPr>
        <w:pStyle w:val="Default"/>
        <w:rPr>
          <w:b/>
          <w:bCs/>
          <w:color w:val="auto"/>
          <w:sz w:val="23"/>
          <w:szCs w:val="23"/>
        </w:rPr>
      </w:pPr>
      <w:r w:rsidRPr="007B6401">
        <w:rPr>
          <w:b/>
          <w:bCs/>
          <w:color w:val="auto"/>
          <w:sz w:val="23"/>
          <w:szCs w:val="23"/>
        </w:rPr>
        <w:t>Odpovědi na výtky svolavatelů demonstrace</w:t>
      </w:r>
      <w:r>
        <w:rPr>
          <w:b/>
          <w:bCs/>
          <w:color w:val="auto"/>
          <w:sz w:val="23"/>
          <w:szCs w:val="23"/>
        </w:rPr>
        <w:t xml:space="preserve"> </w:t>
      </w:r>
      <w:r w:rsidR="006F58E1">
        <w:rPr>
          <w:b/>
          <w:bCs/>
          <w:color w:val="auto"/>
          <w:sz w:val="23"/>
          <w:szCs w:val="23"/>
        </w:rPr>
        <w:t xml:space="preserve">proti přijetí zákona o ochraně památkového fondu </w:t>
      </w:r>
      <w:r>
        <w:rPr>
          <w:b/>
          <w:bCs/>
          <w:color w:val="auto"/>
          <w:sz w:val="23"/>
          <w:szCs w:val="23"/>
        </w:rPr>
        <w:t>konané dne 23. června 2015 před sídlem Ministerstva kultury</w:t>
      </w:r>
      <w:r w:rsidRPr="007B6401">
        <w:rPr>
          <w:b/>
          <w:bCs/>
          <w:color w:val="auto"/>
          <w:sz w:val="23"/>
          <w:szCs w:val="23"/>
        </w:rPr>
        <w:t xml:space="preserve">: </w:t>
      </w:r>
    </w:p>
    <w:p w:rsidR="007B6401" w:rsidRPr="007B6401" w:rsidRDefault="007B6401" w:rsidP="007B6401">
      <w:pPr>
        <w:pStyle w:val="Default"/>
        <w:rPr>
          <w:b/>
          <w:bCs/>
          <w:color w:val="auto"/>
          <w:sz w:val="23"/>
          <w:szCs w:val="23"/>
        </w:rPr>
      </w:pPr>
    </w:p>
    <w:p w:rsidR="007B6401" w:rsidRPr="007B6401" w:rsidRDefault="007B6401" w:rsidP="007B6401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Návrh z</w:t>
      </w:r>
      <w:r w:rsidRPr="007B6401">
        <w:rPr>
          <w:color w:val="auto"/>
          <w:sz w:val="22"/>
          <w:szCs w:val="22"/>
        </w:rPr>
        <w:t>ákon</w:t>
      </w:r>
      <w:r>
        <w:rPr>
          <w:color w:val="auto"/>
          <w:sz w:val="22"/>
          <w:szCs w:val="22"/>
        </w:rPr>
        <w:t>a</w:t>
      </w:r>
      <w:r w:rsidRPr="007B6401">
        <w:rPr>
          <w:color w:val="auto"/>
          <w:sz w:val="22"/>
          <w:szCs w:val="22"/>
        </w:rPr>
        <w:t xml:space="preserve"> údajně: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nedefinuje ochranu památkového fondu jasně jako veřejný zájem na ochraně kulturního dědictví </w:t>
      </w:r>
    </w:p>
    <w:p w:rsidR="007B6401" w:rsidRPr="007B6401" w:rsidRDefault="007B6401" w:rsidP="007B6401">
      <w:pPr>
        <w:spacing w:before="120" w:after="120"/>
        <w:ind w:left="425"/>
        <w:jc w:val="both"/>
      </w:pPr>
      <w:r w:rsidRPr="007B6401">
        <w:t xml:space="preserve">Nesmysl. Svodně je uvedeno už v § 1 navrhovaného zákona. „Tento zákon </w:t>
      </w:r>
      <w:r w:rsidRPr="007B6401">
        <w:rPr>
          <w:b/>
          <w:bCs/>
        </w:rPr>
        <w:t xml:space="preserve">upravuje ochranu památkového fondu </w:t>
      </w:r>
      <w:r w:rsidRPr="007B6401">
        <w:t xml:space="preserve">jako součásti národního kulturního pokladu České republiky a jako součásti evropského a světového kulturního dědictví a </w:t>
      </w:r>
      <w:r w:rsidRPr="007B6401">
        <w:rPr>
          <w:b/>
          <w:bCs/>
        </w:rPr>
        <w:t>ve veřejném zájmu stanovuje podmínky pro jeho uchování, využití, poznávání, dokumentaci, zprostředkování a zpřístupňování</w:t>
      </w:r>
      <w:r w:rsidRPr="007B6401">
        <w:t>.“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podstatně snižuje rozsah památkové ochrany hmotného kulturního dědictví 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Naprosto nekonkrétní tvrzení. Taková nelze vyvrátit, ale ani je obhájit.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 podstatným způsobem oslabuje váhu odborné složky v procesu péče o památkový fond 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Nesmysl. Na rozdíl od stávající úpravy návrh zákona výslovně zakotvuje případy, kdy se NPÚ musí odborně vyjádřit. Podle stávajícího zákona postačí, když marně uplyne 20 dnů a orgán památkové péče lhůtu  NPÚ pro vyjádření neprodlouží.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 stávající zákon z roku 1987 má 47 paragrafů, nový návrh zákona má paragrafů 154 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Není pravda. Stávající zákon má 61 paragrafů. Nelze vycházet z čísla posledního paragrafu zákona. Část definic a jiných náležitostí, které dle současné legislativní praxe musí upravovat zákon, upravuje prováděcí vyhláška č. 66/1988 Sb., která obsahuje 23 paragrafů (součet je tedy </w:t>
      </w:r>
      <w:r w:rsidR="00ED04EC">
        <w:rPr>
          <w:color w:val="auto"/>
          <w:sz w:val="22"/>
          <w:szCs w:val="22"/>
        </w:rPr>
        <w:t>8</w:t>
      </w:r>
      <w:bookmarkStart w:id="0" w:name="_GoBack"/>
      <w:bookmarkEnd w:id="0"/>
      <w:r w:rsidRPr="007B6401">
        <w:rPr>
          <w:color w:val="auto"/>
          <w:sz w:val="22"/>
          <w:szCs w:val="22"/>
        </w:rPr>
        <w:t>4 paragrafů).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bobtná, vše komplikuje a umožňuje takřka nekonečné množství výkladů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Opět nekonkrétní tvrzení, kdy příklady nejsou uvedeny. Ale např. ČMKOS, jehož se svolavatelé demonstrace dovolávají, navrhuje zařadit např. do § 2 odst. 1 navrhovaného zákona </w:t>
      </w:r>
      <w:r w:rsidRPr="007B6401">
        <w:rPr>
          <w:b/>
          <w:bCs/>
          <w:color w:val="auto"/>
          <w:sz w:val="22"/>
          <w:szCs w:val="22"/>
        </w:rPr>
        <w:t>dalších 8 pojmů, aniž by bylo zřejmé, co je jejich obsahem</w:t>
      </w:r>
      <w:r w:rsidRPr="007B6401">
        <w:rPr>
          <w:color w:val="auto"/>
          <w:sz w:val="22"/>
          <w:szCs w:val="22"/>
        </w:rPr>
        <w:t xml:space="preserve"> (vyhověním ČMKOS by se např. úvodní dva paragrafy prodloužily </w:t>
      </w:r>
      <w:r w:rsidRPr="007B6401">
        <w:rPr>
          <w:b/>
          <w:bCs/>
          <w:color w:val="auto"/>
          <w:sz w:val="22"/>
          <w:szCs w:val="22"/>
        </w:rPr>
        <w:t>o dalších 5 odstavců</w:t>
      </w:r>
      <w:r w:rsidRPr="007B6401">
        <w:rPr>
          <w:color w:val="auto"/>
          <w:sz w:val="22"/>
          <w:szCs w:val="22"/>
        </w:rPr>
        <w:t xml:space="preserve">). Z toho vyplývá, že vyhovění zásadním připomínkám např. ČMKOS by tedy znamenalo další výrazné prodloužení navrhované normy…. 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na jeho tvorbě se podíleli i zástupci velkých stavebních firem (METROSTAV)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Nesmysl. Od samého počátku jsou výstupy z poradních týmů zveřejňovány na webu. METROSTAV se prací komise náměstkyně ministra kultury nezúčastnil, na tvorbě zákona se tedy nepodílel, tudíž nemohl ani nic prosadit. 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po několikaleté přípravě bylo LRV do </w:t>
      </w:r>
      <w:proofErr w:type="gramStart"/>
      <w:r w:rsidRPr="007B6401">
        <w:rPr>
          <w:color w:val="auto"/>
          <w:sz w:val="22"/>
          <w:szCs w:val="22"/>
        </w:rPr>
        <w:t>29.5.2015</w:t>
      </w:r>
      <w:proofErr w:type="gramEnd"/>
      <w:r w:rsidRPr="007B6401">
        <w:rPr>
          <w:color w:val="auto"/>
          <w:sz w:val="22"/>
          <w:szCs w:val="22"/>
        </w:rPr>
        <w:t xml:space="preserve"> odesláno 507 (!) připomínek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Nesmysl, vyplývající z neznalosti procesu. Připomínky nejsou odesílány Legislativní radě vlády, ale Ministerstvu kultury. To je povinno je vypořádat tak, jak vyplývá z Legislativních pravidel vlády. Tento procesní krok se jmenuje „připomínkové řízení“ (jeho povahou je zasílání připomínek a jejich vypořádání), a jedná se o standardní postup při předkládání návrhu zákona. Jen pro upřesnění celého procesu: po vypořádání připomínek půjde návrh na projednání odborných komisí Legislativní rady vlády, teprve poté dojde k jeho projednání Legislativní radou vlády a až potom bude návrh zákona předložen vládě k projednání.</w:t>
      </w:r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jen 26 paragrafů ze 154 nebylo Kraji, ČMKOS a ostatními organizacemi kritizováno 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>Tato statistika o ničem zásadním nevypovídá a je zavádějící. Připomínková místa se na způsobu řešení úpravy konkrétních ustanovení neshodla. Např. v otázce účasti veřejnosti řada připomínkových míst požadovala absolutní vyloučení veřejnosti z postupů podle navrhovaného zákona a jiná naopak zásadní rozšíření okruhu osob, které by se měly na jednotlivých procesech podílet</w:t>
      </w:r>
      <w:proofErr w:type="gramStart"/>
      <w:r w:rsidRPr="007B6401">
        <w:rPr>
          <w:color w:val="auto"/>
          <w:sz w:val="22"/>
          <w:szCs w:val="22"/>
        </w:rPr>
        <w:t>…..</w:t>
      </w:r>
      <w:proofErr w:type="gramEnd"/>
    </w:p>
    <w:p w:rsidR="007B6401" w:rsidRPr="007B6401" w:rsidRDefault="007B6401" w:rsidP="007B6401">
      <w:pPr>
        <w:pStyle w:val="Default"/>
        <w:numPr>
          <w:ilvl w:val="0"/>
          <w:numId w:val="1"/>
        </w:numPr>
        <w:spacing w:after="5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t xml:space="preserve">pojmy v něm definované nekorespondují s příslušnými definicemi Konvence o záchraně architektonického dědictví Evropy, mezinárodního předpisu, který je zákonu o památkovém fondu nadřazen </w:t>
      </w:r>
    </w:p>
    <w:p w:rsidR="007B6401" w:rsidRPr="007B6401" w:rsidRDefault="007B6401" w:rsidP="007B6401">
      <w:pPr>
        <w:pStyle w:val="Default"/>
        <w:spacing w:after="56"/>
        <w:ind w:left="426"/>
        <w:jc w:val="both"/>
        <w:rPr>
          <w:color w:val="auto"/>
          <w:sz w:val="22"/>
          <w:szCs w:val="22"/>
        </w:rPr>
      </w:pPr>
      <w:r w:rsidRPr="007B6401">
        <w:rPr>
          <w:color w:val="auto"/>
          <w:sz w:val="22"/>
          <w:szCs w:val="22"/>
        </w:rPr>
        <w:lastRenderedPageBreak/>
        <w:t xml:space="preserve">Další nekonkrétní tvrzení. Navíc: uvedená mezinárodní úmluva se jmenuje nikoli </w:t>
      </w:r>
      <w:r w:rsidRPr="007B6401">
        <w:rPr>
          <w:color w:val="auto"/>
          <w:sz w:val="22"/>
          <w:szCs w:val="22"/>
          <w:u w:val="single"/>
        </w:rPr>
        <w:t>Konvence</w:t>
      </w:r>
      <w:r w:rsidRPr="007B6401">
        <w:rPr>
          <w:color w:val="auto"/>
          <w:sz w:val="22"/>
          <w:szCs w:val="22"/>
        </w:rPr>
        <w:t xml:space="preserve"> o </w:t>
      </w:r>
      <w:r w:rsidRPr="007B6401">
        <w:rPr>
          <w:color w:val="auto"/>
          <w:sz w:val="22"/>
          <w:szCs w:val="22"/>
          <w:u w:val="single"/>
        </w:rPr>
        <w:t>záchraně</w:t>
      </w:r>
      <w:r w:rsidRPr="007B6401">
        <w:rPr>
          <w:color w:val="auto"/>
          <w:sz w:val="22"/>
          <w:szCs w:val="22"/>
        </w:rPr>
        <w:t xml:space="preserve"> architektonického dědictví Evropy ale </w:t>
      </w:r>
      <w:r w:rsidRPr="007B6401">
        <w:rPr>
          <w:color w:val="auto"/>
          <w:sz w:val="22"/>
          <w:szCs w:val="22"/>
          <w:u w:val="single"/>
        </w:rPr>
        <w:t>Úmluva</w:t>
      </w:r>
      <w:r w:rsidRPr="007B6401">
        <w:rPr>
          <w:color w:val="auto"/>
          <w:sz w:val="22"/>
          <w:szCs w:val="22"/>
        </w:rPr>
        <w:t xml:space="preserve"> o </w:t>
      </w:r>
      <w:r w:rsidRPr="007B6401">
        <w:rPr>
          <w:color w:val="auto"/>
          <w:sz w:val="22"/>
          <w:szCs w:val="22"/>
          <w:u w:val="single"/>
        </w:rPr>
        <w:t>ochraně</w:t>
      </w:r>
      <w:r w:rsidRPr="007B6401">
        <w:rPr>
          <w:color w:val="auto"/>
          <w:sz w:val="22"/>
          <w:szCs w:val="22"/>
        </w:rPr>
        <w:t xml:space="preserve"> architektonického dědictví Evropy (viz č. 73/2000 </w:t>
      </w:r>
      <w:proofErr w:type="spellStart"/>
      <w:proofErr w:type="gramStart"/>
      <w:r w:rsidRPr="007B6401">
        <w:rPr>
          <w:color w:val="auto"/>
          <w:sz w:val="22"/>
          <w:szCs w:val="22"/>
        </w:rPr>
        <w:t>Sb.m.</w:t>
      </w:r>
      <w:proofErr w:type="gramEnd"/>
      <w:r w:rsidRPr="007B6401">
        <w:rPr>
          <w:color w:val="auto"/>
          <w:sz w:val="22"/>
          <w:szCs w:val="22"/>
        </w:rPr>
        <w:t>s</w:t>
      </w:r>
      <w:proofErr w:type="spellEnd"/>
      <w:r w:rsidRPr="007B6401">
        <w:rPr>
          <w:color w:val="auto"/>
          <w:sz w:val="22"/>
          <w:szCs w:val="22"/>
        </w:rPr>
        <w:t>.).  (Dovolávat se souladu s dokumentem, jehož název není ani správně citován, je přinejmenším zvláštní.)</w:t>
      </w:r>
    </w:p>
    <w:p w:rsidR="008B6CFB" w:rsidRPr="007B6401" w:rsidRDefault="008B6CFB"/>
    <w:sectPr w:rsidR="008B6CFB" w:rsidRPr="007B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525"/>
    <w:multiLevelType w:val="hybridMultilevel"/>
    <w:tmpl w:val="9A508230"/>
    <w:lvl w:ilvl="0" w:tplc="1F764E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91CD4"/>
    <w:multiLevelType w:val="hybridMultilevel"/>
    <w:tmpl w:val="5546E4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01"/>
    <w:rsid w:val="000B4349"/>
    <w:rsid w:val="003723DF"/>
    <w:rsid w:val="006F58E1"/>
    <w:rsid w:val="007B6401"/>
    <w:rsid w:val="008B6CFB"/>
    <w:rsid w:val="00E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4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B6401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4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B6401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Tupy</dc:creator>
  <cp:lastModifiedBy>Vajčner Jiří</cp:lastModifiedBy>
  <cp:revision>2</cp:revision>
  <dcterms:created xsi:type="dcterms:W3CDTF">2015-06-26T07:07:00Z</dcterms:created>
  <dcterms:modified xsi:type="dcterms:W3CDTF">2015-06-26T07:07:00Z</dcterms:modified>
</cp:coreProperties>
</file>