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2C0F" w:rsidRPr="008C2C0F" w:rsidRDefault="008C2C0F" w:rsidP="008C2C0F">
      <w:pPr>
        <w:pStyle w:val="Nzev"/>
        <w:rPr>
          <w:rFonts w:ascii="Arial" w:hAnsi="Arial" w:cs="Arial"/>
        </w:rPr>
      </w:pPr>
      <w:bookmarkStart w:id="0" w:name="_GoBack"/>
      <w:r w:rsidRPr="008C2C0F">
        <w:rPr>
          <w:rFonts w:ascii="Arial" w:hAnsi="Arial" w:cs="Arial"/>
        </w:rPr>
        <w:t>Osnova p</w:t>
      </w:r>
      <w:r w:rsidRPr="008C2C0F">
        <w:rPr>
          <w:rFonts w:ascii="Arial" w:hAnsi="Arial" w:cs="Arial"/>
        </w:rPr>
        <w:t>rojekt</w:t>
      </w:r>
      <w:r w:rsidRPr="008C2C0F">
        <w:rPr>
          <w:rFonts w:ascii="Arial" w:hAnsi="Arial" w:cs="Arial"/>
        </w:rPr>
        <w:t>u</w:t>
      </w:r>
      <w:r w:rsidRPr="008C2C0F">
        <w:rPr>
          <w:rFonts w:ascii="Arial" w:hAnsi="Arial" w:cs="Arial"/>
        </w:rPr>
        <w:t xml:space="preserve"> záchrany kulturní </w:t>
      </w:r>
      <w:bookmarkEnd w:id="0"/>
      <w:r w:rsidRPr="008C2C0F">
        <w:rPr>
          <w:rFonts w:ascii="Arial" w:hAnsi="Arial" w:cs="Arial"/>
        </w:rPr>
        <w:t>památky</w:t>
      </w:r>
    </w:p>
    <w:p w:rsidR="008C2C0F" w:rsidRPr="008C2C0F" w:rsidRDefault="008C2C0F" w:rsidP="008C2C0F">
      <w:pPr>
        <w:pStyle w:val="Nadpis7"/>
        <w:spacing w:after="0"/>
        <w:jc w:val="both"/>
        <w:rPr>
          <w:rFonts w:ascii="Arial" w:hAnsi="Arial" w:cs="Arial"/>
          <w:b/>
          <w:bCs/>
        </w:rPr>
      </w:pPr>
      <w:r w:rsidRPr="008C2C0F">
        <w:rPr>
          <w:rFonts w:ascii="Arial" w:hAnsi="Arial" w:cs="Arial"/>
          <w:b/>
          <w:bCs/>
        </w:rPr>
        <w:t>(Usnesení vlády ČR č. 110 ze dne 22. 2. 1995 k Programu záchrany architektonického dědictví)</w:t>
      </w:r>
    </w:p>
    <w:p w:rsidR="008C2C0F" w:rsidRDefault="008C2C0F" w:rsidP="008C2C0F">
      <w:pPr>
        <w:pStyle w:val="Odstavecseseznamem"/>
        <w:numPr>
          <w:ilvl w:val="0"/>
          <w:numId w:val="2"/>
        </w:numPr>
        <w:spacing w:before="240" w:after="120" w:line="259" w:lineRule="auto"/>
        <w:ind w:left="425" w:hanging="357"/>
        <w:contextualSpacing w:val="0"/>
        <w:jc w:val="both"/>
        <w:rPr>
          <w:rFonts w:ascii="Arial" w:eastAsiaTheme="minorHAnsi" w:hAnsi="Arial" w:cs="Arial"/>
          <w:iCs/>
          <w:color w:val="000000"/>
          <w:sz w:val="21"/>
          <w:szCs w:val="21"/>
          <w:shd w:val="clear" w:color="auto" w:fill="FFFFFF"/>
          <w:lang w:eastAsia="en-US"/>
        </w:rPr>
      </w:pPr>
      <w:r w:rsidRPr="008C2C0F">
        <w:rPr>
          <w:rFonts w:ascii="Arial" w:eastAsiaTheme="minorHAnsi" w:hAnsi="Arial" w:cs="Arial"/>
          <w:iCs/>
          <w:color w:val="000000"/>
          <w:sz w:val="21"/>
          <w:szCs w:val="21"/>
          <w:shd w:val="clear" w:color="auto" w:fill="FFFFFF"/>
          <w:lang w:eastAsia="en-US"/>
        </w:rPr>
        <w:t>Zhodnocení významu kulturní památky, zejména z hlediska kulturní hodnoty, současného využití a působení v prostředí. Zhodnocení jejího stavu s uvedením závad a stupně ohrožení.</w:t>
      </w:r>
    </w:p>
    <w:p w:rsidR="008C2C0F" w:rsidRDefault="008C2C0F" w:rsidP="008C2C0F">
      <w:pPr>
        <w:pStyle w:val="Odstavecseseznamem"/>
        <w:numPr>
          <w:ilvl w:val="0"/>
          <w:numId w:val="2"/>
        </w:numPr>
        <w:spacing w:after="120" w:line="259" w:lineRule="auto"/>
        <w:ind w:left="425" w:hanging="357"/>
        <w:contextualSpacing w:val="0"/>
        <w:jc w:val="both"/>
        <w:rPr>
          <w:rFonts w:ascii="Arial" w:eastAsiaTheme="minorHAnsi" w:hAnsi="Arial" w:cs="Arial"/>
          <w:iCs/>
          <w:color w:val="000000"/>
          <w:sz w:val="21"/>
          <w:szCs w:val="21"/>
          <w:shd w:val="clear" w:color="auto" w:fill="FFFFFF"/>
          <w:lang w:eastAsia="en-US"/>
        </w:rPr>
      </w:pPr>
      <w:r w:rsidRPr="008C2C0F">
        <w:rPr>
          <w:rFonts w:ascii="Arial" w:eastAsiaTheme="minorHAnsi" w:hAnsi="Arial" w:cs="Arial"/>
          <w:iCs/>
          <w:color w:val="000000"/>
          <w:sz w:val="21"/>
          <w:szCs w:val="21"/>
          <w:shd w:val="clear" w:color="auto" w:fill="FFFFFF"/>
          <w:lang w:eastAsia="en-US"/>
        </w:rPr>
        <w:t>Vztah k územně plánovací dokumentaci, územně plánovacím podkladům, případně k programu regenerace příslušného památkově chráněného území.</w:t>
      </w:r>
    </w:p>
    <w:p w:rsidR="008C2C0F" w:rsidRPr="008C2C0F" w:rsidRDefault="008C2C0F" w:rsidP="008C2C0F">
      <w:pPr>
        <w:pStyle w:val="Odstavecseseznamem"/>
        <w:numPr>
          <w:ilvl w:val="0"/>
          <w:numId w:val="2"/>
        </w:numPr>
        <w:spacing w:after="120" w:line="259" w:lineRule="auto"/>
        <w:ind w:left="425" w:hanging="357"/>
        <w:contextualSpacing w:val="0"/>
        <w:jc w:val="both"/>
        <w:rPr>
          <w:rFonts w:ascii="Arial" w:eastAsiaTheme="minorHAnsi" w:hAnsi="Arial" w:cs="Arial"/>
          <w:iCs/>
          <w:color w:val="000000"/>
          <w:sz w:val="21"/>
          <w:szCs w:val="21"/>
          <w:shd w:val="clear" w:color="auto" w:fill="FFFFFF"/>
          <w:lang w:eastAsia="en-US"/>
        </w:rPr>
      </w:pPr>
      <w:r w:rsidRPr="008C2C0F">
        <w:rPr>
          <w:rFonts w:ascii="Arial" w:eastAsiaTheme="minorHAnsi" w:hAnsi="Arial" w:cs="Arial"/>
          <w:iCs/>
          <w:color w:val="000000"/>
          <w:sz w:val="21"/>
          <w:szCs w:val="21"/>
          <w:shd w:val="clear" w:color="auto" w:fill="FFFFFF"/>
          <w:lang w:eastAsia="en-US"/>
        </w:rPr>
        <w:t>Doplňující průzkumy a rozbory území, urbanistická studie, průzkum trhu, v případě komerčního využití, a případné výsledky stavebně historického průzkumu nebo archeologického výzkumu, pokud byly zpracovány.</w:t>
      </w:r>
    </w:p>
    <w:p w:rsidR="008C2C0F" w:rsidRDefault="008C2C0F" w:rsidP="008C2C0F">
      <w:pPr>
        <w:pStyle w:val="Odstavecseseznamem"/>
        <w:numPr>
          <w:ilvl w:val="0"/>
          <w:numId w:val="2"/>
        </w:numPr>
        <w:spacing w:after="120" w:line="259" w:lineRule="auto"/>
        <w:ind w:left="425" w:hanging="357"/>
        <w:contextualSpacing w:val="0"/>
        <w:jc w:val="both"/>
        <w:rPr>
          <w:rFonts w:ascii="Arial" w:eastAsiaTheme="minorHAnsi" w:hAnsi="Arial" w:cs="Arial"/>
          <w:iCs/>
          <w:color w:val="000000"/>
          <w:sz w:val="21"/>
          <w:szCs w:val="21"/>
          <w:shd w:val="clear" w:color="auto" w:fill="FFFFFF"/>
          <w:lang w:eastAsia="en-US"/>
        </w:rPr>
      </w:pPr>
      <w:r w:rsidRPr="008C2C0F">
        <w:rPr>
          <w:rFonts w:ascii="Arial" w:eastAsiaTheme="minorHAnsi" w:hAnsi="Arial" w:cs="Arial"/>
          <w:iCs/>
          <w:color w:val="000000"/>
          <w:sz w:val="21"/>
          <w:szCs w:val="21"/>
          <w:shd w:val="clear" w:color="auto" w:fill="FFFFFF"/>
          <w:lang w:eastAsia="en-US"/>
        </w:rPr>
        <w:t>Dokumentace obnovy v rozsahu dokladující její povahu, proveditelnost, efektivnost a cenu, doklady</w:t>
      </w:r>
      <w:r w:rsidRPr="008C2C0F">
        <w:rPr>
          <w:rFonts w:ascii="Arial" w:eastAsiaTheme="minorHAnsi" w:hAnsi="Arial" w:cs="Arial"/>
          <w:iCs/>
          <w:color w:val="000000"/>
          <w:sz w:val="21"/>
          <w:szCs w:val="21"/>
          <w:shd w:val="clear" w:color="auto" w:fill="FFFFFF"/>
          <w:lang w:eastAsia="en-US"/>
        </w:rPr>
        <w:t xml:space="preserve"> </w:t>
      </w:r>
      <w:r w:rsidRPr="008C2C0F">
        <w:rPr>
          <w:rFonts w:ascii="Arial" w:eastAsiaTheme="minorHAnsi" w:hAnsi="Arial" w:cs="Arial"/>
          <w:iCs/>
          <w:color w:val="000000"/>
          <w:sz w:val="21"/>
          <w:szCs w:val="21"/>
          <w:shd w:val="clear" w:color="auto" w:fill="FFFFFF"/>
          <w:lang w:eastAsia="en-US"/>
        </w:rPr>
        <w:t>o projednání dokumentace, zejména souhlasné rozhodnutí nebo závazné stanovisko orgánu památkové péče, které nabylo právní moci. Vyjádření okresního a obecního úřadu a</w:t>
      </w:r>
      <w:r>
        <w:rPr>
          <w:rFonts w:ascii="Arial" w:eastAsiaTheme="minorHAnsi" w:hAnsi="Arial" w:cs="Arial"/>
          <w:iCs/>
          <w:color w:val="000000"/>
          <w:sz w:val="21"/>
          <w:szCs w:val="21"/>
          <w:shd w:val="clear" w:color="auto" w:fill="FFFFFF"/>
          <w:lang w:eastAsia="en-US"/>
        </w:rPr>
        <w:t> </w:t>
      </w:r>
      <w:r w:rsidRPr="008C2C0F">
        <w:rPr>
          <w:rFonts w:ascii="Arial" w:eastAsiaTheme="minorHAnsi" w:hAnsi="Arial" w:cs="Arial"/>
          <w:iCs/>
          <w:color w:val="000000"/>
          <w:sz w:val="21"/>
          <w:szCs w:val="21"/>
          <w:shd w:val="clear" w:color="auto" w:fill="FFFFFF"/>
          <w:lang w:eastAsia="en-US"/>
        </w:rPr>
        <w:t>územní rozhodnutí, pokud je předepsáno.</w:t>
      </w:r>
    </w:p>
    <w:p w:rsidR="008C2C0F" w:rsidRDefault="008C2C0F" w:rsidP="008C2C0F">
      <w:pPr>
        <w:pStyle w:val="Odstavecseseznamem"/>
        <w:numPr>
          <w:ilvl w:val="0"/>
          <w:numId w:val="2"/>
        </w:numPr>
        <w:spacing w:after="120" w:line="259" w:lineRule="auto"/>
        <w:ind w:left="425" w:hanging="357"/>
        <w:contextualSpacing w:val="0"/>
        <w:jc w:val="both"/>
        <w:rPr>
          <w:rFonts w:ascii="Arial" w:eastAsiaTheme="minorHAnsi" w:hAnsi="Arial" w:cs="Arial"/>
          <w:iCs/>
          <w:color w:val="000000"/>
          <w:sz w:val="21"/>
          <w:szCs w:val="21"/>
          <w:shd w:val="clear" w:color="auto" w:fill="FFFFFF"/>
          <w:lang w:eastAsia="en-US"/>
        </w:rPr>
      </w:pPr>
      <w:r w:rsidRPr="008C2C0F">
        <w:rPr>
          <w:rFonts w:ascii="Arial" w:eastAsiaTheme="minorHAnsi" w:hAnsi="Arial" w:cs="Arial"/>
          <w:iCs/>
          <w:color w:val="000000"/>
          <w:sz w:val="21"/>
          <w:szCs w:val="21"/>
          <w:shd w:val="clear" w:color="auto" w:fill="FFFFFF"/>
          <w:lang w:eastAsia="en-US"/>
        </w:rPr>
        <w:t>Plán prezentace kulturních hodnot a využití kulturní památky s výhledem nejméně na 10 let, s uvedením povahy ve vztahu k původnímu využití. Využití ploch a časové využití objektu.</w:t>
      </w:r>
    </w:p>
    <w:p w:rsidR="008C2C0F" w:rsidRDefault="008C2C0F" w:rsidP="008C2C0F">
      <w:pPr>
        <w:pStyle w:val="Odstavecseseznamem"/>
        <w:numPr>
          <w:ilvl w:val="0"/>
          <w:numId w:val="2"/>
        </w:numPr>
        <w:spacing w:after="120" w:line="259" w:lineRule="auto"/>
        <w:ind w:left="425" w:hanging="357"/>
        <w:contextualSpacing w:val="0"/>
        <w:jc w:val="both"/>
        <w:rPr>
          <w:rFonts w:ascii="Arial" w:eastAsiaTheme="minorHAnsi" w:hAnsi="Arial" w:cs="Arial"/>
          <w:iCs/>
          <w:color w:val="000000"/>
          <w:sz w:val="21"/>
          <w:szCs w:val="21"/>
          <w:shd w:val="clear" w:color="auto" w:fill="FFFFFF"/>
          <w:lang w:eastAsia="en-US"/>
        </w:rPr>
      </w:pPr>
      <w:r w:rsidRPr="008C2C0F">
        <w:rPr>
          <w:rFonts w:ascii="Arial" w:eastAsiaTheme="minorHAnsi" w:hAnsi="Arial" w:cs="Arial"/>
          <w:iCs/>
          <w:color w:val="000000"/>
          <w:sz w:val="21"/>
          <w:szCs w:val="21"/>
          <w:shd w:val="clear" w:color="auto" w:fill="FFFFFF"/>
          <w:lang w:eastAsia="en-US"/>
        </w:rPr>
        <w:t>Orientační propočet ceny obnovy, orientační časový plán přípravy a realizace a odhad ročního čerpání finančních prostředků, včetně zhodnocení rizik vyplývajících z povahy obnovy a s tím souvisejících dodatečných nákladů.</w:t>
      </w:r>
    </w:p>
    <w:p w:rsidR="008C2C0F" w:rsidRDefault="008C2C0F" w:rsidP="008C2C0F">
      <w:pPr>
        <w:pStyle w:val="Odstavecseseznamem"/>
        <w:numPr>
          <w:ilvl w:val="0"/>
          <w:numId w:val="2"/>
        </w:numPr>
        <w:spacing w:after="120" w:line="259" w:lineRule="auto"/>
        <w:ind w:left="425" w:hanging="357"/>
        <w:contextualSpacing w:val="0"/>
        <w:jc w:val="both"/>
        <w:rPr>
          <w:rFonts w:ascii="Arial" w:eastAsiaTheme="minorHAnsi" w:hAnsi="Arial" w:cs="Arial"/>
          <w:iCs/>
          <w:color w:val="000000"/>
          <w:sz w:val="21"/>
          <w:szCs w:val="21"/>
          <w:shd w:val="clear" w:color="auto" w:fill="FFFFFF"/>
          <w:lang w:eastAsia="en-US"/>
        </w:rPr>
      </w:pPr>
      <w:r w:rsidRPr="008C2C0F">
        <w:rPr>
          <w:rFonts w:ascii="Arial" w:eastAsiaTheme="minorHAnsi" w:hAnsi="Arial" w:cs="Arial"/>
          <w:iCs/>
          <w:color w:val="000000"/>
          <w:sz w:val="21"/>
          <w:szCs w:val="21"/>
          <w:shd w:val="clear" w:color="auto" w:fill="FFFFFF"/>
          <w:lang w:eastAsia="en-US"/>
        </w:rPr>
        <w:t>Finanční zajištění obnovy v členění na prostředky vlastníka a uživatelů, dary, příspěvky nadací, sponzorů, fondů a loterií, půjčky a úvěry, existující daňové úlevy, příspěvky obcí, okresních úřadů</w:t>
      </w:r>
      <w:r w:rsidRPr="008C2C0F">
        <w:rPr>
          <w:rFonts w:ascii="Arial" w:eastAsiaTheme="minorHAnsi" w:hAnsi="Arial" w:cs="Arial"/>
          <w:iCs/>
          <w:color w:val="000000"/>
          <w:sz w:val="21"/>
          <w:szCs w:val="21"/>
          <w:shd w:val="clear" w:color="auto" w:fill="FFFFFF"/>
          <w:lang w:eastAsia="en-US"/>
        </w:rPr>
        <w:t xml:space="preserve"> </w:t>
      </w:r>
      <w:r w:rsidRPr="008C2C0F">
        <w:rPr>
          <w:rFonts w:ascii="Arial" w:eastAsiaTheme="minorHAnsi" w:hAnsi="Arial" w:cs="Arial"/>
          <w:iCs/>
          <w:color w:val="000000"/>
          <w:sz w:val="21"/>
          <w:szCs w:val="21"/>
          <w:shd w:val="clear" w:color="auto" w:fill="FFFFFF"/>
          <w:lang w:eastAsia="en-US"/>
        </w:rPr>
        <w:t>a jiných zdrojů a oproti tomu potřeba příspěvku z Programu záchrany architektonického dědictví v jednotlivých letech realizace. (Současné použití podpory z ostatních programů ministerstva v oblasti památkové péče není možné.)</w:t>
      </w:r>
    </w:p>
    <w:p w:rsidR="008C2C0F" w:rsidRDefault="008C2C0F" w:rsidP="008C2C0F">
      <w:pPr>
        <w:pStyle w:val="Odstavecseseznamem"/>
        <w:numPr>
          <w:ilvl w:val="0"/>
          <w:numId w:val="2"/>
        </w:numPr>
        <w:spacing w:after="120" w:line="259" w:lineRule="auto"/>
        <w:ind w:left="425" w:hanging="357"/>
        <w:contextualSpacing w:val="0"/>
        <w:jc w:val="both"/>
        <w:rPr>
          <w:rFonts w:ascii="Arial" w:eastAsiaTheme="minorHAnsi" w:hAnsi="Arial" w:cs="Arial"/>
          <w:iCs/>
          <w:color w:val="000000"/>
          <w:sz w:val="21"/>
          <w:szCs w:val="21"/>
          <w:shd w:val="clear" w:color="auto" w:fill="FFFFFF"/>
          <w:lang w:eastAsia="en-US"/>
        </w:rPr>
      </w:pPr>
      <w:r w:rsidRPr="008C2C0F">
        <w:rPr>
          <w:rFonts w:ascii="Arial" w:eastAsiaTheme="minorHAnsi" w:hAnsi="Arial" w:cs="Arial"/>
          <w:iCs/>
          <w:color w:val="000000"/>
          <w:sz w:val="21"/>
          <w:szCs w:val="21"/>
          <w:shd w:val="clear" w:color="auto" w:fill="FFFFFF"/>
          <w:lang w:eastAsia="en-US"/>
        </w:rPr>
        <w:t>Zajištění budoucí správy, provozu, běžné údržby, oprav a případné obnovy kulturní památky s uvedením zdrojů. Finanční plán správy, provozu, údržby a obnovy v členění na hlavní nákladové a příjmové položky nejméně na 10 let.</w:t>
      </w:r>
    </w:p>
    <w:p w:rsidR="008C2C0F" w:rsidRDefault="008C2C0F" w:rsidP="008C2C0F">
      <w:pPr>
        <w:pStyle w:val="Odstavecseseznamem"/>
        <w:numPr>
          <w:ilvl w:val="0"/>
          <w:numId w:val="2"/>
        </w:numPr>
        <w:spacing w:after="120" w:line="259" w:lineRule="auto"/>
        <w:ind w:left="425" w:hanging="357"/>
        <w:contextualSpacing w:val="0"/>
        <w:jc w:val="both"/>
        <w:rPr>
          <w:rFonts w:ascii="Arial" w:eastAsiaTheme="minorHAnsi" w:hAnsi="Arial" w:cs="Arial"/>
          <w:iCs/>
          <w:color w:val="000000"/>
          <w:sz w:val="21"/>
          <w:szCs w:val="21"/>
          <w:shd w:val="clear" w:color="auto" w:fill="FFFFFF"/>
          <w:lang w:eastAsia="en-US"/>
        </w:rPr>
      </w:pPr>
      <w:r w:rsidRPr="008C2C0F">
        <w:rPr>
          <w:rFonts w:ascii="Arial" w:eastAsiaTheme="minorHAnsi" w:hAnsi="Arial" w:cs="Arial"/>
          <w:iCs/>
          <w:color w:val="000000"/>
          <w:sz w:val="21"/>
          <w:szCs w:val="21"/>
          <w:shd w:val="clear" w:color="auto" w:fill="FFFFFF"/>
          <w:lang w:eastAsia="en-US"/>
        </w:rPr>
        <w:t>Společenské přínosy jako zvýšení celkové kvality životního prostředí a využití pro kulturní, společenské a veřejně prospěšné a ekonomické účely, vytvoření pracovních míst a zvýšení cestovního ruchu.</w:t>
      </w:r>
    </w:p>
    <w:p w:rsidR="008C2C0F" w:rsidRPr="008C2C0F" w:rsidRDefault="008C2C0F" w:rsidP="008C2C0F">
      <w:pPr>
        <w:pStyle w:val="Odstavecseseznamem"/>
        <w:numPr>
          <w:ilvl w:val="0"/>
          <w:numId w:val="2"/>
        </w:numPr>
        <w:spacing w:after="120" w:line="259" w:lineRule="auto"/>
        <w:ind w:left="425" w:hanging="357"/>
        <w:contextualSpacing w:val="0"/>
        <w:jc w:val="both"/>
        <w:rPr>
          <w:rFonts w:ascii="Arial" w:eastAsiaTheme="minorHAnsi" w:hAnsi="Arial" w:cs="Arial"/>
          <w:iCs/>
          <w:color w:val="000000"/>
          <w:sz w:val="21"/>
          <w:szCs w:val="21"/>
          <w:shd w:val="clear" w:color="auto" w:fill="FFFFFF"/>
          <w:lang w:eastAsia="en-US"/>
        </w:rPr>
      </w:pPr>
      <w:r w:rsidRPr="008C2C0F">
        <w:rPr>
          <w:rFonts w:ascii="Arial" w:eastAsiaTheme="minorHAnsi" w:hAnsi="Arial" w:cs="Arial"/>
          <w:iCs/>
          <w:color w:val="000000"/>
          <w:sz w:val="21"/>
          <w:szCs w:val="21"/>
          <w:shd w:val="clear" w:color="auto" w:fill="FFFFFF"/>
          <w:lang w:eastAsia="en-US"/>
        </w:rPr>
        <w:t>Průkaz vlastnického práva nebo práva k hospodaření (pokud vlastníkem není stát), daňové přiznání z nemovitosti a z příjmů fyzických a právnických osob, prohlášení o majetkových poměrech a doklady o ročních výnosech a nákladech kulturní památky za poslední tři roky a</w:t>
      </w:r>
      <w:r>
        <w:rPr>
          <w:rFonts w:ascii="Arial" w:eastAsiaTheme="minorHAnsi" w:hAnsi="Arial" w:cs="Arial"/>
          <w:iCs/>
          <w:color w:val="000000"/>
          <w:sz w:val="21"/>
          <w:szCs w:val="21"/>
          <w:shd w:val="clear" w:color="auto" w:fill="FFFFFF"/>
          <w:lang w:eastAsia="en-US"/>
        </w:rPr>
        <w:t> </w:t>
      </w:r>
      <w:r w:rsidRPr="008C2C0F">
        <w:rPr>
          <w:rFonts w:ascii="Arial" w:eastAsiaTheme="minorHAnsi" w:hAnsi="Arial" w:cs="Arial"/>
          <w:iCs/>
          <w:color w:val="000000"/>
          <w:sz w:val="21"/>
          <w:szCs w:val="21"/>
          <w:shd w:val="clear" w:color="auto" w:fill="FFFFFF"/>
          <w:lang w:eastAsia="en-US"/>
        </w:rPr>
        <w:t>případných břemenech.</w:t>
      </w:r>
    </w:p>
    <w:p w:rsidR="008C2C0F" w:rsidRPr="008C2C0F" w:rsidRDefault="008C2C0F" w:rsidP="008C2C0F">
      <w:pPr>
        <w:pStyle w:val="Zhlav"/>
        <w:tabs>
          <w:tab w:val="clear" w:pos="4536"/>
          <w:tab w:val="clear" w:pos="9072"/>
        </w:tabs>
        <w:spacing w:line="276" w:lineRule="auto"/>
        <w:ind w:left="360"/>
        <w:rPr>
          <w:b/>
        </w:rPr>
      </w:pPr>
    </w:p>
    <w:p w:rsidR="008C2C0F" w:rsidRPr="008C2C0F" w:rsidRDefault="008C2C0F" w:rsidP="008C2C0F">
      <w:pPr>
        <w:pStyle w:val="Zhlav"/>
        <w:tabs>
          <w:tab w:val="clear" w:pos="4536"/>
          <w:tab w:val="clear" w:pos="9072"/>
        </w:tabs>
        <w:spacing w:line="276" w:lineRule="auto"/>
        <w:jc w:val="both"/>
        <w:rPr>
          <w:rFonts w:ascii="Arial" w:hAnsi="Arial" w:cs="Arial"/>
          <w:b/>
          <w:sz w:val="22"/>
        </w:rPr>
      </w:pPr>
      <w:r w:rsidRPr="008C2C0F">
        <w:rPr>
          <w:rFonts w:ascii="Arial" w:hAnsi="Arial" w:cs="Arial"/>
          <w:b/>
          <w:sz w:val="22"/>
        </w:rPr>
        <w:t>Příslušné výkonné orgány státní památkové péče a územní odborná pracoviště Národního památkového ústavu mohou poskytnout žadateli odbornou bezplatnou pomoc během zpracování Projektu.</w:t>
      </w:r>
    </w:p>
    <w:p w:rsidR="008C2C0F" w:rsidRDefault="008C2C0F" w:rsidP="008C2C0F">
      <w:pPr>
        <w:jc w:val="both"/>
        <w:rPr>
          <w:sz w:val="24"/>
          <w:szCs w:val="24"/>
        </w:rPr>
      </w:pPr>
    </w:p>
    <w:p w:rsidR="00296BEC" w:rsidRDefault="00296BEC"/>
    <w:sectPr w:rsidR="00296BEC" w:rsidSect="000F4DAA">
      <w:footerReference w:type="even" r:id="rId5"/>
      <w:footerReference w:type="default" r:id="rId6"/>
      <w:pgSz w:w="11906" w:h="16838"/>
      <w:pgMar w:top="1134" w:right="1418" w:bottom="1418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64EE" w:rsidRDefault="008C2C0F" w:rsidP="000A660D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3A64EE" w:rsidRDefault="008C2C0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64EE" w:rsidRDefault="008C2C0F" w:rsidP="000A660D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9</w:t>
    </w:r>
    <w:r>
      <w:rPr>
        <w:rStyle w:val="slostrnky"/>
      </w:rPr>
      <w:fldChar w:fldCharType="end"/>
    </w:r>
  </w:p>
  <w:p w:rsidR="003A64EE" w:rsidRDefault="008C2C0F">
    <w:pPr>
      <w:pStyle w:val="Zpat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4F1036"/>
    <w:multiLevelType w:val="hybridMultilevel"/>
    <w:tmpl w:val="19E49B1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3E673B"/>
    <w:multiLevelType w:val="hybridMultilevel"/>
    <w:tmpl w:val="04685A5C"/>
    <w:lvl w:ilvl="0" w:tplc="9DAE88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C0F"/>
    <w:rsid w:val="00296BEC"/>
    <w:rsid w:val="008C2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BE974"/>
  <w15:chartTrackingRefBased/>
  <w15:docId w15:val="{E4C55798-1805-4CB0-ADD5-B57209132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C2C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7">
    <w:name w:val="heading 7"/>
    <w:basedOn w:val="Normln"/>
    <w:next w:val="Normln"/>
    <w:link w:val="Nadpis7Char"/>
    <w:qFormat/>
    <w:rsid w:val="008C2C0F"/>
    <w:pPr>
      <w:spacing w:before="240" w:after="60"/>
      <w:outlineLvl w:val="6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7Char">
    <w:name w:val="Nadpis 7 Char"/>
    <w:basedOn w:val="Standardnpsmoodstavce"/>
    <w:link w:val="Nadpis7"/>
    <w:rsid w:val="008C2C0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rsid w:val="008C2C0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8C2C0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rsid w:val="008C2C0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8C2C0F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ostrnky">
    <w:name w:val="page number"/>
    <w:basedOn w:val="Standardnpsmoodstavce"/>
    <w:rsid w:val="008C2C0F"/>
  </w:style>
  <w:style w:type="paragraph" w:styleId="Nzev">
    <w:name w:val="Title"/>
    <w:basedOn w:val="Normln"/>
    <w:next w:val="Normln"/>
    <w:link w:val="NzevChar"/>
    <w:uiPriority w:val="10"/>
    <w:qFormat/>
    <w:rsid w:val="008C2C0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C2C0F"/>
    <w:rPr>
      <w:rFonts w:asciiTheme="majorHAnsi" w:eastAsiaTheme="majorEastAsia" w:hAnsiTheme="majorHAnsi" w:cstheme="majorBidi"/>
      <w:spacing w:val="-10"/>
      <w:kern w:val="28"/>
      <w:sz w:val="56"/>
      <w:szCs w:val="56"/>
      <w:lang w:eastAsia="cs-CZ"/>
    </w:rPr>
  </w:style>
  <w:style w:type="paragraph" w:styleId="Odstavecseseznamem">
    <w:name w:val="List Paragraph"/>
    <w:basedOn w:val="Normln"/>
    <w:uiPriority w:val="34"/>
    <w:qFormat/>
    <w:rsid w:val="008C2C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387</Words>
  <Characters>2296</Characters>
  <Application>Microsoft Office Word</Application>
  <DocSecurity>0</DocSecurity>
  <Lines>37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Vacíř Jan</dc:creator>
  <cp:keywords/>
  <dc:description/>
  <cp:lastModifiedBy>Vacíř Jan</cp:lastModifiedBy>
  <cp:revision>1</cp:revision>
  <dcterms:created xsi:type="dcterms:W3CDTF">2026-08-14T13:00:00Z</dcterms:created>
  <dcterms:modified xsi:type="dcterms:W3CDTF">2026-08-14T13:09:00Z</dcterms:modified>
</cp:coreProperties>
</file>