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EA3" w:rsidRDefault="00FB3EA3" w:rsidP="00FB3EA3">
      <w:pPr>
        <w:pStyle w:val="Default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10F3F47" wp14:editId="50FB76A9">
            <wp:extent cx="1823085" cy="561975"/>
            <wp:effectExtent l="0" t="0" r="5715" b="952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EA3" w:rsidRPr="00D84197" w:rsidRDefault="00FB3EA3" w:rsidP="00FB3EA3">
      <w:pPr>
        <w:pStyle w:val="Default"/>
        <w:spacing w:line="360" w:lineRule="auto"/>
        <w:jc w:val="center"/>
        <w:rPr>
          <w:spacing w:val="36"/>
          <w:kern w:val="32"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Pr="00D84197">
        <w:rPr>
          <w:b/>
          <w:bCs/>
          <w:spacing w:val="36"/>
          <w:kern w:val="32"/>
          <w:sz w:val="32"/>
          <w:szCs w:val="32"/>
        </w:rPr>
        <w:t>Ministerstvo kultury</w:t>
      </w:r>
    </w:p>
    <w:p w:rsidR="00FB3EA3" w:rsidRDefault="00FB3EA3" w:rsidP="00FB3EA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odbor památkové péče</w:t>
      </w:r>
    </w:p>
    <w:p w:rsidR="00193E5A" w:rsidRDefault="00193E5A" w:rsidP="00FB3EA3">
      <w:pPr>
        <w:pStyle w:val="Default"/>
        <w:ind w:left="2836"/>
        <w:rPr>
          <w:b/>
          <w:bCs/>
          <w:sz w:val="32"/>
          <w:szCs w:val="32"/>
        </w:rPr>
      </w:pPr>
    </w:p>
    <w:p w:rsidR="00FB3EA3" w:rsidRPr="00C7299F" w:rsidRDefault="000F6499" w:rsidP="00E60615">
      <w:pPr>
        <w:pStyle w:val="Default"/>
        <w:jc w:val="both"/>
        <w:rPr>
          <w:color w:val="auto"/>
          <w:sz w:val="23"/>
          <w:szCs w:val="23"/>
        </w:rPr>
      </w:pPr>
      <w:r w:rsidRPr="00287CA4">
        <w:rPr>
          <w:sz w:val="23"/>
          <w:szCs w:val="23"/>
        </w:rPr>
        <w:t xml:space="preserve">na základě </w:t>
      </w:r>
      <w:r w:rsidRPr="00D60275">
        <w:rPr>
          <w:sz w:val="23"/>
          <w:szCs w:val="23"/>
        </w:rPr>
        <w:t xml:space="preserve">usnesení vlády České republiky </w:t>
      </w:r>
      <w:r w:rsidR="00194D33">
        <w:rPr>
          <w:sz w:val="23"/>
          <w:szCs w:val="23"/>
        </w:rPr>
        <w:t xml:space="preserve">ze dne 25. března 1992 č. 209 </w:t>
      </w:r>
      <w:r w:rsidR="00194D33" w:rsidRPr="00194D33">
        <w:rPr>
          <w:sz w:val="23"/>
          <w:szCs w:val="23"/>
        </w:rPr>
        <w:t xml:space="preserve">k Programu regenerace </w:t>
      </w:r>
      <w:r w:rsidR="00194D33">
        <w:rPr>
          <w:sz w:val="23"/>
          <w:szCs w:val="23"/>
        </w:rPr>
        <w:t xml:space="preserve">městských památkových rezervací </w:t>
      </w:r>
      <w:r w:rsidR="00194D33" w:rsidRPr="00194D33">
        <w:rPr>
          <w:sz w:val="23"/>
          <w:szCs w:val="23"/>
        </w:rPr>
        <w:t>a</w:t>
      </w:r>
      <w:r w:rsidR="00020274">
        <w:rPr>
          <w:sz w:val="23"/>
          <w:szCs w:val="23"/>
        </w:rPr>
        <w:t> </w:t>
      </w:r>
      <w:r w:rsidR="00194D33" w:rsidRPr="00194D33">
        <w:rPr>
          <w:sz w:val="23"/>
          <w:szCs w:val="23"/>
        </w:rPr>
        <w:t>městských památkových zón</w:t>
      </w:r>
      <w:r w:rsidRPr="00D60275">
        <w:rPr>
          <w:sz w:val="23"/>
          <w:szCs w:val="23"/>
        </w:rPr>
        <w:t xml:space="preserve">, </w:t>
      </w:r>
      <w:r w:rsidR="00FB3EA3" w:rsidRPr="00C7299F">
        <w:rPr>
          <w:color w:val="auto"/>
          <w:sz w:val="23"/>
          <w:szCs w:val="23"/>
        </w:rPr>
        <w:t>a úplného znění Zásad Ministerstva kultury České republiky pro užití a alokaci státní finanční podpory v Programu regenerace městských památkových rezervací a městských památkových zón č</w:t>
      </w:r>
      <w:r w:rsidR="00FB3EA3" w:rsidRPr="00C7299F">
        <w:rPr>
          <w:color w:val="auto"/>
        </w:rPr>
        <w:t>. j. MK 40416/2025 OPP ze dne 7. 5. 2025, s účinností od 20. 12. 2025</w:t>
      </w:r>
      <w:r w:rsidR="00FB3EA3" w:rsidRPr="00C7299F">
        <w:rPr>
          <w:color w:val="auto"/>
          <w:sz w:val="23"/>
          <w:szCs w:val="23"/>
        </w:rPr>
        <w:t xml:space="preserve"> </w:t>
      </w:r>
    </w:p>
    <w:p w:rsidR="00287CA4" w:rsidRPr="00287CA4" w:rsidRDefault="00287CA4" w:rsidP="00E60615">
      <w:pPr>
        <w:pStyle w:val="Default"/>
        <w:jc w:val="both"/>
        <w:rPr>
          <w:sz w:val="23"/>
          <w:szCs w:val="23"/>
        </w:rPr>
      </w:pPr>
    </w:p>
    <w:p w:rsidR="000F6499" w:rsidRPr="00D60275" w:rsidRDefault="000F6499" w:rsidP="00E60615">
      <w:pPr>
        <w:pStyle w:val="Default"/>
        <w:jc w:val="center"/>
        <w:rPr>
          <w:sz w:val="28"/>
          <w:szCs w:val="28"/>
        </w:rPr>
      </w:pPr>
      <w:r w:rsidRPr="00D60275">
        <w:rPr>
          <w:sz w:val="28"/>
          <w:szCs w:val="28"/>
        </w:rPr>
        <w:t>vyhlašuje</w:t>
      </w:r>
    </w:p>
    <w:p w:rsidR="000F6499" w:rsidRDefault="000F6499" w:rsidP="00E60615">
      <w:pPr>
        <w:pStyle w:val="Default"/>
        <w:jc w:val="center"/>
        <w:rPr>
          <w:sz w:val="28"/>
          <w:szCs w:val="28"/>
        </w:rPr>
      </w:pPr>
    </w:p>
    <w:p w:rsidR="002938D6" w:rsidRDefault="00194D33" w:rsidP="00E60615">
      <w:pPr>
        <w:pStyle w:val="Default"/>
        <w:jc w:val="center"/>
        <w:rPr>
          <w:b/>
          <w:bCs/>
          <w:sz w:val="32"/>
          <w:szCs w:val="32"/>
        </w:rPr>
      </w:pPr>
      <w:r w:rsidRPr="00194D33">
        <w:rPr>
          <w:b/>
          <w:bCs/>
          <w:sz w:val="32"/>
          <w:szCs w:val="32"/>
        </w:rPr>
        <w:t>Program regenerace městských památkových rezervací a</w:t>
      </w:r>
      <w:r w:rsidR="00020274">
        <w:rPr>
          <w:b/>
          <w:bCs/>
          <w:sz w:val="32"/>
          <w:szCs w:val="32"/>
        </w:rPr>
        <w:t> </w:t>
      </w:r>
      <w:r w:rsidRPr="00194D33">
        <w:rPr>
          <w:b/>
          <w:bCs/>
          <w:sz w:val="32"/>
          <w:szCs w:val="32"/>
        </w:rPr>
        <w:t>městských památkových zón</w:t>
      </w:r>
      <w:r w:rsidR="0029544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na rok</w:t>
      </w:r>
      <w:r w:rsidR="000F6499">
        <w:rPr>
          <w:b/>
          <w:bCs/>
          <w:sz w:val="32"/>
          <w:szCs w:val="32"/>
        </w:rPr>
        <w:t xml:space="preserve"> </w:t>
      </w:r>
      <w:r w:rsidR="00417F53">
        <w:rPr>
          <w:b/>
          <w:bCs/>
          <w:sz w:val="32"/>
          <w:szCs w:val="32"/>
        </w:rPr>
        <w:t>202</w:t>
      </w:r>
      <w:r w:rsidR="00B65606">
        <w:rPr>
          <w:b/>
          <w:bCs/>
          <w:sz w:val="32"/>
          <w:szCs w:val="32"/>
        </w:rPr>
        <w:t>6</w:t>
      </w:r>
      <w:r w:rsidR="002938D6">
        <w:rPr>
          <w:b/>
          <w:bCs/>
          <w:sz w:val="32"/>
          <w:szCs w:val="32"/>
        </w:rPr>
        <w:t xml:space="preserve"> </w:t>
      </w:r>
    </w:p>
    <w:p w:rsidR="000F6499" w:rsidRDefault="002938D6" w:rsidP="00E60615">
      <w:pPr>
        <w:pStyle w:val="Default"/>
        <w:jc w:val="center"/>
        <w:rPr>
          <w:b/>
          <w:bCs/>
          <w:sz w:val="32"/>
          <w:szCs w:val="32"/>
        </w:rPr>
      </w:pPr>
      <w:bookmarkStart w:id="0" w:name="_Hlk150433208"/>
      <w:bookmarkStart w:id="1" w:name="_Hlk151368682"/>
      <w:r w:rsidRPr="002938D6">
        <w:rPr>
          <w:b/>
          <w:bCs/>
          <w:color w:val="4F81BD" w:themeColor="accent1"/>
          <w:sz w:val="32"/>
          <w:szCs w:val="32"/>
        </w:rPr>
        <w:t>na pořízení plánů ochrany</w:t>
      </w:r>
      <w:bookmarkEnd w:id="0"/>
    </w:p>
    <w:bookmarkEnd w:id="1"/>
    <w:p w:rsidR="00FB3EA3" w:rsidRDefault="00FB3EA3" w:rsidP="00E60615">
      <w:pPr>
        <w:pStyle w:val="Default"/>
        <w:rPr>
          <w:sz w:val="32"/>
          <w:szCs w:val="32"/>
        </w:rPr>
      </w:pPr>
    </w:p>
    <w:p w:rsidR="00FB3EA3" w:rsidRDefault="00FB3EA3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Část I.</w:t>
      </w:r>
    </w:p>
    <w:p w:rsidR="00FB3EA3" w:rsidRDefault="00FB3EA3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Termín podání žádosti</w:t>
      </w:r>
    </w:p>
    <w:p w:rsidR="00FB3EA3" w:rsidRPr="00FB3EA3" w:rsidRDefault="00FB3EA3" w:rsidP="00E60615">
      <w:pPr>
        <w:pStyle w:val="Default"/>
        <w:rPr>
          <w:sz w:val="16"/>
          <w:szCs w:val="16"/>
        </w:rPr>
      </w:pPr>
    </w:p>
    <w:p w:rsidR="00097C44" w:rsidRPr="008C44D3" w:rsidRDefault="000F6499" w:rsidP="00E60615">
      <w:pPr>
        <w:pStyle w:val="Default"/>
        <w:jc w:val="both"/>
        <w:rPr>
          <w:color w:val="auto"/>
        </w:rPr>
      </w:pPr>
      <w:bookmarkStart w:id="2" w:name="_Hlk151368769"/>
      <w:r w:rsidRPr="00DE7AF9">
        <w:rPr>
          <w:b/>
          <w:bCs/>
          <w:color w:val="auto"/>
        </w:rPr>
        <w:t xml:space="preserve">Termín podání </w:t>
      </w:r>
      <w:r w:rsidR="002938D6" w:rsidRPr="00DE7AF9">
        <w:rPr>
          <w:b/>
          <w:bCs/>
          <w:color w:val="auto"/>
        </w:rPr>
        <w:t>žádostí na pořízení plánů ochrany</w:t>
      </w:r>
      <w:r w:rsidR="00097C44" w:rsidRPr="00DE7AF9">
        <w:rPr>
          <w:color w:val="auto"/>
        </w:rPr>
        <w:t xml:space="preserve"> zpracovan</w:t>
      </w:r>
      <w:r w:rsidR="002938D6" w:rsidRPr="00DE7AF9">
        <w:rPr>
          <w:color w:val="auto"/>
        </w:rPr>
        <w:t>ých</w:t>
      </w:r>
      <w:r w:rsidR="00097C44" w:rsidRPr="00DE7AF9">
        <w:rPr>
          <w:color w:val="auto"/>
        </w:rPr>
        <w:t xml:space="preserve"> na předepsan</w:t>
      </w:r>
      <w:r w:rsidR="002938D6" w:rsidRPr="00DE7AF9">
        <w:rPr>
          <w:color w:val="auto"/>
        </w:rPr>
        <w:t>ých</w:t>
      </w:r>
      <w:r w:rsidR="00097C44" w:rsidRPr="00DE7AF9">
        <w:rPr>
          <w:color w:val="auto"/>
        </w:rPr>
        <w:t xml:space="preserve"> formulář</w:t>
      </w:r>
      <w:r w:rsidR="002938D6" w:rsidRPr="00DE7AF9">
        <w:rPr>
          <w:color w:val="auto"/>
        </w:rPr>
        <w:t>ích</w:t>
      </w:r>
      <w:r w:rsidR="00097C44" w:rsidRPr="00DE7AF9">
        <w:rPr>
          <w:color w:val="auto"/>
        </w:rPr>
        <w:t xml:space="preserve"> vč</w:t>
      </w:r>
      <w:r w:rsidRPr="00DE7AF9">
        <w:rPr>
          <w:color w:val="auto"/>
        </w:rPr>
        <w:t>etně povinných příloh</w:t>
      </w:r>
      <w:r w:rsidR="00097C44" w:rsidRPr="00DE7AF9">
        <w:rPr>
          <w:color w:val="auto"/>
        </w:rPr>
        <w:t>,</w:t>
      </w:r>
      <w:r w:rsidRPr="00DE7AF9">
        <w:rPr>
          <w:color w:val="auto"/>
        </w:rPr>
        <w:t xml:space="preserve"> </w:t>
      </w:r>
      <w:r w:rsidR="00FB3EA3">
        <w:rPr>
          <w:color w:val="auto"/>
        </w:rPr>
        <w:t>kter</w:t>
      </w:r>
      <w:r w:rsidR="008D6F8A" w:rsidRPr="00DE7AF9">
        <w:rPr>
          <w:color w:val="auto"/>
        </w:rPr>
        <w:t xml:space="preserve">é </w:t>
      </w:r>
      <w:r w:rsidR="00EB5DF8" w:rsidRPr="00DE7AF9">
        <w:rPr>
          <w:color w:val="auto"/>
        </w:rPr>
        <w:t xml:space="preserve">se zasílají </w:t>
      </w:r>
      <w:r w:rsidR="008D6F8A" w:rsidRPr="00DE7AF9">
        <w:rPr>
          <w:color w:val="auto"/>
        </w:rPr>
        <w:t xml:space="preserve">na </w:t>
      </w:r>
      <w:r w:rsidR="00097C44" w:rsidRPr="00DE7AF9">
        <w:rPr>
          <w:b/>
          <w:color w:val="auto"/>
        </w:rPr>
        <w:t>Ministerstv</w:t>
      </w:r>
      <w:r w:rsidR="008D6F8A" w:rsidRPr="00DE7AF9">
        <w:rPr>
          <w:b/>
          <w:color w:val="auto"/>
        </w:rPr>
        <w:t>o</w:t>
      </w:r>
      <w:r w:rsidR="00097C44" w:rsidRPr="00DE7AF9">
        <w:rPr>
          <w:b/>
          <w:color w:val="auto"/>
        </w:rPr>
        <w:t xml:space="preserve"> kultury</w:t>
      </w:r>
      <w:r w:rsidR="00FB3EA3">
        <w:rPr>
          <w:b/>
          <w:color w:val="auto"/>
        </w:rPr>
        <w:t xml:space="preserve"> </w:t>
      </w:r>
      <w:r w:rsidR="009C4740">
        <w:rPr>
          <w:color w:val="auto"/>
          <w:sz w:val="23"/>
          <w:szCs w:val="23"/>
        </w:rPr>
        <w:t xml:space="preserve">prostřednictvím </w:t>
      </w:r>
      <w:r w:rsidR="009C4740">
        <w:rPr>
          <w:b/>
          <w:sz w:val="23"/>
          <w:szCs w:val="23"/>
        </w:rPr>
        <w:t>datové schránky</w:t>
      </w:r>
      <w:r w:rsidR="008D6F8A" w:rsidRPr="00DE7AF9">
        <w:rPr>
          <w:color w:val="auto"/>
        </w:rPr>
        <w:t>, je</w:t>
      </w:r>
      <w:r w:rsidR="00097C44" w:rsidRPr="00DE7AF9">
        <w:rPr>
          <w:color w:val="auto"/>
        </w:rPr>
        <w:t xml:space="preserve"> </w:t>
      </w:r>
      <w:r w:rsidR="0052649C">
        <w:rPr>
          <w:color w:val="auto"/>
        </w:rPr>
        <w:t xml:space="preserve">od </w:t>
      </w:r>
      <w:r w:rsidR="0052649C" w:rsidRPr="0052649C">
        <w:rPr>
          <w:b/>
          <w:color w:val="auto"/>
        </w:rPr>
        <w:t>1. 4. 202</w:t>
      </w:r>
      <w:r w:rsidR="00FB3EA3">
        <w:rPr>
          <w:b/>
          <w:color w:val="auto"/>
        </w:rPr>
        <w:t>6</w:t>
      </w:r>
      <w:r w:rsidR="0052649C">
        <w:rPr>
          <w:color w:val="auto"/>
        </w:rPr>
        <w:t xml:space="preserve"> </w:t>
      </w:r>
      <w:r w:rsidRPr="00DE7AF9">
        <w:rPr>
          <w:color w:val="auto"/>
        </w:rPr>
        <w:t>do</w:t>
      </w:r>
      <w:r w:rsidR="00020274" w:rsidRPr="00DE7AF9">
        <w:rPr>
          <w:color w:val="auto"/>
        </w:rPr>
        <w:t xml:space="preserve"> </w:t>
      </w:r>
      <w:r w:rsidR="007E04F8">
        <w:rPr>
          <w:b/>
          <w:color w:val="auto"/>
        </w:rPr>
        <w:t>1</w:t>
      </w:r>
      <w:r w:rsidR="00FB3EA3">
        <w:rPr>
          <w:b/>
          <w:color w:val="auto"/>
        </w:rPr>
        <w:t>2</w:t>
      </w:r>
      <w:r w:rsidR="007E04F8">
        <w:rPr>
          <w:b/>
          <w:color w:val="auto"/>
        </w:rPr>
        <w:t>. 6</w:t>
      </w:r>
      <w:r w:rsidR="002938D6" w:rsidRPr="00DE7AF9">
        <w:rPr>
          <w:b/>
          <w:color w:val="auto"/>
        </w:rPr>
        <w:t>. 202</w:t>
      </w:r>
      <w:r w:rsidR="00FB3EA3">
        <w:rPr>
          <w:b/>
          <w:color w:val="auto"/>
        </w:rPr>
        <w:t>6</w:t>
      </w:r>
      <w:r w:rsidRPr="00DE7AF9">
        <w:rPr>
          <w:color w:val="auto"/>
        </w:rPr>
        <w:t xml:space="preserve">. </w:t>
      </w:r>
      <w:bookmarkEnd w:id="2"/>
    </w:p>
    <w:p w:rsidR="00FB3EA3" w:rsidRDefault="00FB3EA3" w:rsidP="00E60615">
      <w:pPr>
        <w:pStyle w:val="Default"/>
        <w:jc w:val="both"/>
      </w:pPr>
    </w:p>
    <w:p w:rsidR="00FB3EA3" w:rsidRDefault="00FB3EA3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Část II.</w:t>
      </w:r>
    </w:p>
    <w:p w:rsidR="00FB3EA3" w:rsidRPr="00535840" w:rsidRDefault="00FB3EA3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Žadatelé a zaměření programu </w:t>
      </w:r>
    </w:p>
    <w:p w:rsidR="00FB3EA3" w:rsidRPr="00FB3EA3" w:rsidRDefault="00FB3EA3" w:rsidP="00E60615">
      <w:pPr>
        <w:pStyle w:val="Default"/>
        <w:jc w:val="both"/>
        <w:rPr>
          <w:sz w:val="16"/>
          <w:szCs w:val="16"/>
        </w:rPr>
      </w:pPr>
    </w:p>
    <w:p w:rsidR="00531FB6" w:rsidRPr="00E60615" w:rsidRDefault="002938D6" w:rsidP="00E60615">
      <w:pPr>
        <w:pStyle w:val="Default"/>
        <w:jc w:val="both"/>
      </w:pPr>
      <w:bookmarkStart w:id="3" w:name="_Hlk151368829"/>
      <w:r w:rsidRPr="00E60615">
        <w:t>Dotace</w:t>
      </w:r>
      <w:r w:rsidR="00531FB6" w:rsidRPr="00E60615">
        <w:t xml:space="preserve"> </w:t>
      </w:r>
      <w:r w:rsidRPr="00E60615">
        <w:t xml:space="preserve">na pořízení plánů ochrany </w:t>
      </w:r>
      <w:r w:rsidR="00531FB6" w:rsidRPr="00E60615">
        <w:t>mohou být poskytnuty pouze do měst a obcí</w:t>
      </w:r>
      <w:r w:rsidR="00613A95" w:rsidRPr="00E60615">
        <w:t xml:space="preserve"> (dále jen měst)</w:t>
      </w:r>
      <w:r w:rsidR="00531FB6" w:rsidRPr="00E60615">
        <w:t xml:space="preserve">, na jejichž území je </w:t>
      </w:r>
      <w:r w:rsidR="007C14C9" w:rsidRPr="00E60615">
        <w:t>vy</w:t>
      </w:r>
      <w:r w:rsidR="00531FB6" w:rsidRPr="00E60615">
        <w:t>hlášena MPR nebo MPZ</w:t>
      </w:r>
      <w:r w:rsidR="00295441" w:rsidRPr="00E60615">
        <w:t xml:space="preserve"> </w:t>
      </w:r>
      <w:r w:rsidR="00295441" w:rsidRPr="00E60615">
        <w:rPr>
          <w:color w:val="auto"/>
        </w:rPr>
        <w:t xml:space="preserve">a </w:t>
      </w:r>
      <w:r w:rsidR="00983329" w:rsidRPr="00E60615">
        <w:rPr>
          <w:color w:val="auto"/>
        </w:rPr>
        <w:t>PR</w:t>
      </w:r>
      <w:r w:rsidR="00295441" w:rsidRPr="00E60615">
        <w:rPr>
          <w:color w:val="auto"/>
        </w:rPr>
        <w:t xml:space="preserve"> Kuks</w:t>
      </w:r>
      <w:r w:rsidR="00531FB6" w:rsidRPr="00E60615">
        <w:t xml:space="preserve">, </w:t>
      </w:r>
      <w:r w:rsidR="00983329" w:rsidRPr="00E60615">
        <w:t xml:space="preserve">a </w:t>
      </w:r>
      <w:r w:rsidR="00531FB6" w:rsidRPr="00E60615">
        <w:t>kde je</w:t>
      </w:r>
      <w:r w:rsidR="00983329" w:rsidRPr="00E60615">
        <w:t xml:space="preserve"> zároveň</w:t>
      </w:r>
      <w:r w:rsidR="00531FB6" w:rsidRPr="00E60615">
        <w:t xml:space="preserve"> zpracován a</w:t>
      </w:r>
      <w:r w:rsidR="00E60615">
        <w:t> </w:t>
      </w:r>
      <w:r w:rsidR="00531FB6" w:rsidRPr="00E60615">
        <w:t>schválen městský program regenerace.</w:t>
      </w:r>
      <w:r w:rsidR="00F97E3C" w:rsidRPr="00E60615">
        <w:t xml:space="preserve"> Příslušná MPR, MPZ </w:t>
      </w:r>
      <w:r w:rsidR="00F97E3C" w:rsidRPr="00E60615">
        <w:rPr>
          <w:color w:val="auto"/>
        </w:rPr>
        <w:t>a PR Kuks</w:t>
      </w:r>
      <w:r w:rsidR="00F97E3C" w:rsidRPr="00E60615">
        <w:t>, pro n</w:t>
      </w:r>
      <w:r w:rsidR="00FB3EA3" w:rsidRPr="00E60615">
        <w:t>í</w:t>
      </w:r>
      <w:r w:rsidR="00F97E3C" w:rsidRPr="00E60615">
        <w:t xml:space="preserve">ž </w:t>
      </w:r>
      <w:r w:rsidR="000D0FA2" w:rsidRPr="00E60615">
        <w:t>je podána žádost na</w:t>
      </w:r>
      <w:r w:rsidR="00F97E3C" w:rsidRPr="00E60615">
        <w:t xml:space="preserve"> zpracován</w:t>
      </w:r>
      <w:r w:rsidR="000D0FA2" w:rsidRPr="00E60615">
        <w:t>í</w:t>
      </w:r>
      <w:r w:rsidR="00F97E3C" w:rsidRPr="00E60615">
        <w:t xml:space="preserve"> plán</w:t>
      </w:r>
      <w:r w:rsidR="000D0FA2" w:rsidRPr="00E60615">
        <w:t>u</w:t>
      </w:r>
      <w:r w:rsidR="00F97E3C" w:rsidRPr="00E60615">
        <w:t xml:space="preserve"> ochrany</w:t>
      </w:r>
      <w:r w:rsidR="000D0FA2" w:rsidRPr="00E60615">
        <w:t xml:space="preserve"> na rok 202</w:t>
      </w:r>
      <w:r w:rsidR="00FB3EA3" w:rsidRPr="00E60615">
        <w:t>6</w:t>
      </w:r>
      <w:r w:rsidR="000D0FA2" w:rsidRPr="00E60615">
        <w:t>,</w:t>
      </w:r>
      <w:r w:rsidR="00F97E3C" w:rsidRPr="00E60615">
        <w:t xml:space="preserve"> musí mít na rok 202</w:t>
      </w:r>
      <w:r w:rsidR="00FB3EA3" w:rsidRPr="00E60615">
        <w:t>6</w:t>
      </w:r>
      <w:r w:rsidR="00F97E3C" w:rsidRPr="00E60615">
        <w:t xml:space="preserve"> zaslán na Ministerstvo kultury také Anketní dotazník.</w:t>
      </w:r>
      <w:r w:rsidRPr="00E60615">
        <w:t xml:space="preserve"> Žadatelem o dotaci může </w:t>
      </w:r>
      <w:r w:rsidR="007C14C9" w:rsidRPr="00E60615">
        <w:t xml:space="preserve">být </w:t>
      </w:r>
      <w:r w:rsidRPr="00E60615">
        <w:t>příslušná obec/město s MPR, MPZ a PR Kuks anebo příslušný kraj.</w:t>
      </w:r>
      <w:bookmarkEnd w:id="3"/>
    </w:p>
    <w:p w:rsidR="00FB3EA3" w:rsidRDefault="00FB3EA3" w:rsidP="00E60615">
      <w:pPr>
        <w:pStyle w:val="Default"/>
        <w:jc w:val="center"/>
        <w:rPr>
          <w:color w:val="7030A0"/>
        </w:rPr>
      </w:pPr>
    </w:p>
    <w:p w:rsidR="00FB3EA3" w:rsidRDefault="00FB3EA3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Část III.</w:t>
      </w:r>
    </w:p>
    <w:p w:rsidR="00922C08" w:rsidRPr="00D01048" w:rsidRDefault="00FB3EA3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Žádost a přílohy</w:t>
      </w:r>
    </w:p>
    <w:p w:rsidR="00922C08" w:rsidRPr="00E77B5F" w:rsidRDefault="00922C08" w:rsidP="00E60615">
      <w:pPr>
        <w:spacing w:before="220" w:line="240" w:lineRule="auto"/>
        <w:jc w:val="both"/>
      </w:pPr>
      <w:r>
        <w:rPr>
          <w:szCs w:val="24"/>
        </w:rPr>
        <w:t>D</w:t>
      </w:r>
      <w:r w:rsidRPr="008B35A4">
        <w:rPr>
          <w:szCs w:val="24"/>
        </w:rPr>
        <w:t>otace se poskyt</w:t>
      </w:r>
      <w:r w:rsidR="00373D8D">
        <w:rPr>
          <w:szCs w:val="24"/>
        </w:rPr>
        <w:t>uje</w:t>
      </w:r>
      <w:r w:rsidRPr="008B35A4">
        <w:rPr>
          <w:szCs w:val="24"/>
        </w:rPr>
        <w:t xml:space="preserve"> příjemci na základě žádosti, podané na </w:t>
      </w:r>
      <w:r>
        <w:rPr>
          <w:szCs w:val="24"/>
        </w:rPr>
        <w:t xml:space="preserve">dvou </w:t>
      </w:r>
      <w:r w:rsidRPr="008B35A4">
        <w:rPr>
          <w:szCs w:val="24"/>
        </w:rPr>
        <w:t>formulářích (včetně příloh), které jsou dostupné na webových stránkách Ministerstvem kultury</w:t>
      </w:r>
      <w:r>
        <w:rPr>
          <w:szCs w:val="24"/>
        </w:rPr>
        <w:t xml:space="preserve">: </w:t>
      </w:r>
      <w:hyperlink r:id="rId9" w:history="1">
        <w:r w:rsidR="00E77B5F" w:rsidRPr="00614478">
          <w:rPr>
            <w:rStyle w:val="Hypertextovodkaz"/>
          </w:rPr>
          <w:t>https://mk.gov.cz/program-regenerace-mestskych-pamatkovych-rezervaci-a-mestskych-pamatkovych-zon-cs-282</w:t>
        </w:r>
      </w:hyperlink>
      <w:r w:rsidR="00E77B5F">
        <w:t xml:space="preserve"> a to:</w:t>
      </w:r>
    </w:p>
    <w:p w:rsidR="009C4740" w:rsidRPr="009C4740" w:rsidRDefault="00FB3EA3" w:rsidP="00E60615">
      <w:pPr>
        <w:pStyle w:val="Default"/>
        <w:numPr>
          <w:ilvl w:val="0"/>
          <w:numId w:val="10"/>
        </w:numPr>
        <w:ind w:left="357" w:hanging="357"/>
        <w:jc w:val="both"/>
        <w:rPr>
          <w:bCs/>
        </w:rPr>
      </w:pPr>
      <w:bookmarkStart w:id="4" w:name="_Hlk151530172"/>
      <w:r w:rsidRPr="009C4740">
        <w:t>Žádost o poskytnutí dotace na pořízení plánu ochrany v roce</w:t>
      </w:r>
      <w:r w:rsidRPr="009C4740">
        <w:rPr>
          <w:bCs/>
        </w:rPr>
        <w:t xml:space="preserve"> 2026 v Programu regenerace MPR a MPZ</w:t>
      </w:r>
      <w:r w:rsidR="00086FEC">
        <w:rPr>
          <w:bCs/>
        </w:rPr>
        <w:t>;</w:t>
      </w:r>
      <w:r w:rsidRPr="009C4740">
        <w:rPr>
          <w:bCs/>
        </w:rPr>
        <w:t xml:space="preserve"> </w:t>
      </w:r>
    </w:p>
    <w:p w:rsidR="00FB3EA3" w:rsidRDefault="00FB3EA3" w:rsidP="00E60615">
      <w:pPr>
        <w:pStyle w:val="Default"/>
        <w:numPr>
          <w:ilvl w:val="0"/>
          <w:numId w:val="10"/>
        </w:numPr>
        <w:ind w:left="357" w:hanging="357"/>
        <w:jc w:val="both"/>
        <w:rPr>
          <w:color w:val="auto"/>
        </w:rPr>
      </w:pPr>
      <w:r w:rsidRPr="009C4740">
        <w:rPr>
          <w:color w:val="auto"/>
        </w:rPr>
        <w:t>Žádost o státní dotaci</w:t>
      </w:r>
      <w:r w:rsidR="00086FEC">
        <w:rPr>
          <w:color w:val="auto"/>
        </w:rPr>
        <w:t>.</w:t>
      </w:r>
    </w:p>
    <w:p w:rsidR="00647F7F" w:rsidRPr="008B35A4" w:rsidRDefault="00647F7F" w:rsidP="00E60615">
      <w:pPr>
        <w:autoSpaceDE w:val="0"/>
        <w:autoSpaceDN w:val="0"/>
        <w:adjustRightInd w:val="0"/>
        <w:spacing w:line="240" w:lineRule="auto"/>
        <w:jc w:val="both"/>
        <w:rPr>
          <w:i/>
          <w:iCs/>
          <w:spacing w:val="-2"/>
          <w:szCs w:val="24"/>
        </w:rPr>
      </w:pPr>
      <w:r w:rsidRPr="00EB6343">
        <w:rPr>
          <w:bCs/>
          <w:i/>
          <w:iCs/>
          <w:spacing w:val="-2"/>
          <w:szCs w:val="24"/>
        </w:rPr>
        <w:t>Vyplňování DPH!</w:t>
      </w:r>
      <w:r w:rsidRPr="00EB6343">
        <w:rPr>
          <w:i/>
          <w:iCs/>
          <w:spacing w:val="-2"/>
          <w:szCs w:val="24"/>
        </w:rPr>
        <w:t xml:space="preserve"> J</w:t>
      </w:r>
      <w:r w:rsidRPr="008B35A4">
        <w:rPr>
          <w:i/>
          <w:iCs/>
          <w:spacing w:val="-2"/>
          <w:szCs w:val="24"/>
        </w:rPr>
        <w:t xml:space="preserve">e-li </w:t>
      </w:r>
      <w:r>
        <w:rPr>
          <w:i/>
          <w:iCs/>
          <w:spacing w:val="-2"/>
          <w:szCs w:val="24"/>
        </w:rPr>
        <w:t>žadatel</w:t>
      </w:r>
      <w:r w:rsidRPr="008B35A4">
        <w:rPr>
          <w:i/>
          <w:iCs/>
          <w:spacing w:val="-2"/>
          <w:szCs w:val="24"/>
        </w:rPr>
        <w:t xml:space="preserve"> plátcem DPH (bez ohledu na druh činnosti podnikání a bez ohledu na skutečnost, zdali může nebo nemůže uplatnit odpočet DPH</w:t>
      </w:r>
      <w:r>
        <w:rPr>
          <w:i/>
          <w:iCs/>
          <w:spacing w:val="-2"/>
          <w:szCs w:val="24"/>
        </w:rPr>
        <w:t xml:space="preserve">), vyplňuje náklady bez DPH. </w:t>
      </w:r>
      <w:r w:rsidRPr="008B35A4">
        <w:rPr>
          <w:i/>
          <w:iCs/>
          <w:spacing w:val="-4"/>
          <w:szCs w:val="24"/>
        </w:rPr>
        <w:t xml:space="preserve">Plátci DPH provádějí vyúčtování </w:t>
      </w:r>
      <w:r>
        <w:rPr>
          <w:i/>
          <w:iCs/>
          <w:spacing w:val="-4"/>
          <w:szCs w:val="24"/>
        </w:rPr>
        <w:t>dotace</w:t>
      </w:r>
      <w:r w:rsidRPr="008B35A4">
        <w:rPr>
          <w:i/>
          <w:iCs/>
          <w:spacing w:val="-4"/>
          <w:szCs w:val="24"/>
        </w:rPr>
        <w:t xml:space="preserve"> opět v částkách bez DPH.</w:t>
      </w:r>
      <w:r w:rsidRPr="008B35A4">
        <w:rPr>
          <w:i/>
          <w:iCs/>
          <w:spacing w:val="-2"/>
          <w:szCs w:val="24"/>
        </w:rPr>
        <w:t xml:space="preserve"> </w:t>
      </w:r>
    </w:p>
    <w:p w:rsidR="009C4740" w:rsidRPr="009C4740" w:rsidRDefault="009C4740" w:rsidP="00E60615">
      <w:pPr>
        <w:pStyle w:val="Default"/>
        <w:jc w:val="both"/>
        <w:rPr>
          <w:bCs/>
          <w:color w:val="auto"/>
        </w:rPr>
      </w:pPr>
      <w:r w:rsidRPr="009C4740">
        <w:rPr>
          <w:bCs/>
          <w:color w:val="auto"/>
        </w:rPr>
        <w:lastRenderedPageBreak/>
        <w:t xml:space="preserve">Přílohou těchto žádostí </w:t>
      </w:r>
      <w:r>
        <w:rPr>
          <w:bCs/>
          <w:color w:val="auto"/>
        </w:rPr>
        <w:t>(</w:t>
      </w:r>
      <w:r w:rsidR="00E60615">
        <w:rPr>
          <w:bCs/>
          <w:color w:val="auto"/>
        </w:rPr>
        <w:t xml:space="preserve">jsou </w:t>
      </w:r>
      <w:r>
        <w:rPr>
          <w:bCs/>
          <w:color w:val="auto"/>
        </w:rPr>
        <w:t>uveden</w:t>
      </w:r>
      <w:r w:rsidR="00E60615">
        <w:rPr>
          <w:bCs/>
          <w:color w:val="auto"/>
        </w:rPr>
        <w:t>y</w:t>
      </w:r>
      <w:r>
        <w:rPr>
          <w:bCs/>
          <w:color w:val="auto"/>
        </w:rPr>
        <w:t xml:space="preserve"> v </w:t>
      </w:r>
      <w:r w:rsidRPr="009C4740">
        <w:t>Žádost</w:t>
      </w:r>
      <w:r>
        <w:t>i</w:t>
      </w:r>
      <w:r w:rsidRPr="009C4740">
        <w:t xml:space="preserve"> o poskytnutí dotace na pořízení plánu ochrany v</w:t>
      </w:r>
      <w:r>
        <w:t> </w:t>
      </w:r>
      <w:r w:rsidRPr="009C4740">
        <w:t>roce</w:t>
      </w:r>
      <w:r w:rsidRPr="009C4740">
        <w:rPr>
          <w:bCs/>
        </w:rPr>
        <w:t xml:space="preserve"> 2026 v Programu regenerace MPR a MPZ</w:t>
      </w:r>
      <w:r>
        <w:rPr>
          <w:bCs/>
        </w:rPr>
        <w:t>)</w:t>
      </w:r>
      <w:r w:rsidRPr="009C4740">
        <w:rPr>
          <w:bCs/>
          <w:color w:val="auto"/>
        </w:rPr>
        <w:t>:</w:t>
      </w:r>
    </w:p>
    <w:p w:rsidR="00FB3EA3" w:rsidRPr="008C44D3" w:rsidRDefault="00FB3EA3" w:rsidP="00E60615">
      <w:pPr>
        <w:pStyle w:val="Default"/>
        <w:jc w:val="both"/>
        <w:rPr>
          <w:bCs/>
        </w:rPr>
      </w:pPr>
      <w:r w:rsidRPr="00BC740D">
        <w:rPr>
          <w:bCs/>
        </w:rPr>
        <w:t xml:space="preserve">a) </w:t>
      </w:r>
      <w:r w:rsidRPr="008C44D3">
        <w:rPr>
          <w:bCs/>
        </w:rPr>
        <w:t>Doklad o výběru zhotovitele plánu ochrany, jde-li o veřejnou zakázku, v souladu se zák. č. 134/2016 Sb., o zadávání veřejných zakázek, v platném znění. Zasílá se pouze protokol z výběrového řízení.</w:t>
      </w:r>
    </w:p>
    <w:p w:rsidR="00FB3EA3" w:rsidRPr="008C44D3" w:rsidRDefault="00FB3EA3" w:rsidP="00E60615">
      <w:pPr>
        <w:pStyle w:val="Default"/>
        <w:jc w:val="both"/>
        <w:rPr>
          <w:bCs/>
        </w:rPr>
      </w:pPr>
      <w:r w:rsidRPr="008C44D3">
        <w:rPr>
          <w:bCs/>
        </w:rPr>
        <w:t>b) Podepsaná smlouva vztahující se k celkovým nákladům na pořízení plánu ochrany pro příslušnou MPR nebo MPZ, zde musí být uvedeno: termín provedení prací, sjednaná odborně odhadnutá cena prací a jako příloha položkový rozpočet prací.</w:t>
      </w:r>
      <w:r w:rsidRPr="008C44D3">
        <w:rPr>
          <w:bCs/>
        </w:rPr>
        <w:tab/>
      </w:r>
      <w:r w:rsidRPr="008C44D3">
        <w:rPr>
          <w:bCs/>
        </w:rPr>
        <w:tab/>
      </w:r>
      <w:r w:rsidRPr="008C44D3">
        <w:rPr>
          <w:bCs/>
        </w:rPr>
        <w:tab/>
      </w:r>
      <w:r w:rsidRPr="008C44D3">
        <w:rPr>
          <w:bCs/>
        </w:rPr>
        <w:tab/>
      </w:r>
    </w:p>
    <w:p w:rsidR="00FB3EA3" w:rsidRPr="008C44D3" w:rsidRDefault="00FB3EA3" w:rsidP="00E60615">
      <w:pPr>
        <w:pStyle w:val="Default"/>
        <w:jc w:val="both"/>
        <w:rPr>
          <w:bCs/>
        </w:rPr>
      </w:pPr>
      <w:r w:rsidRPr="008C44D3">
        <w:rPr>
          <w:bCs/>
        </w:rPr>
        <w:t xml:space="preserve">c) Podepsaná smlouva o dílo (dodatek) vztahující se pouze k roku 2026, která se váže k žádosti, zde musí být uvedeno: specifikace a rozsah prací pro rok 2026, termín provedení prací v roce 2026, sjednaná odborně odhadnutá cena prací v roce 2026 a jako příloha položkový rozpočet prací pro rok 2026. </w:t>
      </w:r>
      <w:r w:rsidRPr="008C44D3">
        <w:rPr>
          <w:bCs/>
        </w:rPr>
        <w:tab/>
      </w:r>
      <w:r w:rsidRPr="008C44D3">
        <w:rPr>
          <w:bCs/>
        </w:rPr>
        <w:tab/>
      </w:r>
      <w:r w:rsidRPr="008C44D3">
        <w:rPr>
          <w:bCs/>
        </w:rPr>
        <w:tab/>
      </w:r>
      <w:r w:rsidRPr="008C44D3">
        <w:rPr>
          <w:bCs/>
        </w:rPr>
        <w:tab/>
      </w:r>
      <w:r w:rsidRPr="008C44D3">
        <w:rPr>
          <w:bCs/>
        </w:rPr>
        <w:tab/>
      </w:r>
      <w:r w:rsidRPr="008C44D3">
        <w:rPr>
          <w:bCs/>
        </w:rPr>
        <w:tab/>
      </w:r>
      <w:r w:rsidRPr="008C44D3">
        <w:rPr>
          <w:bCs/>
        </w:rPr>
        <w:tab/>
      </w:r>
    </w:p>
    <w:p w:rsidR="00FB3EA3" w:rsidRPr="008C44D3" w:rsidRDefault="00FB3EA3" w:rsidP="00E60615">
      <w:pPr>
        <w:pStyle w:val="Default"/>
        <w:jc w:val="both"/>
        <w:rPr>
          <w:bCs/>
        </w:rPr>
      </w:pPr>
      <w:r w:rsidRPr="008C44D3">
        <w:rPr>
          <w:bCs/>
        </w:rPr>
        <w:t>d) smlouv</w:t>
      </w:r>
      <w:r w:rsidR="00EE0263">
        <w:rPr>
          <w:bCs/>
        </w:rPr>
        <w:t>a</w:t>
      </w:r>
      <w:r w:rsidRPr="008C44D3">
        <w:rPr>
          <w:bCs/>
        </w:rPr>
        <w:t xml:space="preserve"> o zřízení účtu u ČNB s číslem aktuálního příjmového účtu města /obce /kraje.</w:t>
      </w:r>
      <w:r w:rsidR="00EE0263">
        <w:rPr>
          <w:bCs/>
        </w:rPr>
        <w:t xml:space="preserve"> M</w:t>
      </w:r>
      <w:r w:rsidRPr="008C44D3">
        <w:rPr>
          <w:bCs/>
        </w:rPr>
        <w:t>ěsta, obce a kraje dodají doklad o zřízení účtu u České národní banky (speciální účet zřízený pro dotace ze státního rozpočtu v souladu s platným zněním zákona č. 218/2000 Sb., o rozpočtových pravidlech a o změně některých souvisejících zákonů). Dokládá se smlouv</w:t>
      </w:r>
      <w:r w:rsidR="00EE0263">
        <w:rPr>
          <w:bCs/>
        </w:rPr>
        <w:t>a</w:t>
      </w:r>
      <w:r w:rsidRPr="008C44D3">
        <w:rPr>
          <w:bCs/>
        </w:rPr>
        <w:t xml:space="preserve"> o</w:t>
      </w:r>
      <w:r w:rsidR="00EE0263">
        <w:rPr>
          <w:bCs/>
        </w:rPr>
        <w:t> </w:t>
      </w:r>
      <w:r w:rsidRPr="008C44D3">
        <w:rPr>
          <w:bCs/>
        </w:rPr>
        <w:t>zřízení účtu nebo potvrzení příslušného bankovního ústavu s uvedením majitele (vlastníka) účtu a aktuálním číslem účtu.</w:t>
      </w:r>
    </w:p>
    <w:p w:rsidR="00FB3EA3" w:rsidRPr="008C44D3" w:rsidRDefault="00FB3EA3" w:rsidP="00E60615">
      <w:pPr>
        <w:pStyle w:val="Default"/>
        <w:jc w:val="both"/>
        <w:rPr>
          <w:bCs/>
          <w:color w:val="auto"/>
        </w:rPr>
      </w:pPr>
      <w:r w:rsidRPr="008C44D3">
        <w:rPr>
          <w:bCs/>
          <w:color w:val="auto"/>
        </w:rPr>
        <w:t xml:space="preserve">e) doklad o ustanovení statutárního orgánu (např. usnesení z ustavujícího zasedání apod.) </w:t>
      </w:r>
    </w:p>
    <w:bookmarkEnd w:id="4"/>
    <w:p w:rsidR="009C4740" w:rsidRPr="008C44D3" w:rsidRDefault="009C4740" w:rsidP="00E60615">
      <w:pPr>
        <w:spacing w:line="240" w:lineRule="auto"/>
        <w:jc w:val="both"/>
        <w:rPr>
          <w:b/>
          <w:sz w:val="28"/>
          <w:szCs w:val="28"/>
        </w:rPr>
      </w:pPr>
    </w:p>
    <w:p w:rsidR="009C4740" w:rsidRDefault="009C4740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Část IV.</w:t>
      </w:r>
    </w:p>
    <w:p w:rsidR="009C4740" w:rsidRDefault="009C4740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Způsob podání žádosti</w:t>
      </w:r>
    </w:p>
    <w:p w:rsidR="009C4740" w:rsidRPr="002852E1" w:rsidRDefault="009C4740" w:rsidP="00E60615">
      <w:pPr>
        <w:pStyle w:val="Default"/>
        <w:jc w:val="center"/>
        <w:rPr>
          <w:sz w:val="16"/>
          <w:szCs w:val="16"/>
        </w:rPr>
      </w:pPr>
    </w:p>
    <w:p w:rsidR="009C4740" w:rsidRDefault="009C4740" w:rsidP="00E60615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9C4740">
        <w:rPr>
          <w:bCs/>
          <w:color w:val="auto"/>
          <w:sz w:val="23"/>
          <w:szCs w:val="23"/>
        </w:rPr>
        <w:t>Formuláře žádostí (dva) včetně všech povinných příloh</w:t>
      </w:r>
      <w:r w:rsidRPr="00F176A1"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>se zasílají</w:t>
      </w:r>
      <w:r w:rsidRPr="00F176A1">
        <w:rPr>
          <w:bCs/>
          <w:color w:val="auto"/>
          <w:sz w:val="23"/>
          <w:szCs w:val="23"/>
        </w:rPr>
        <w:t xml:space="preserve"> Ministerstvu kultury</w:t>
      </w:r>
      <w:r>
        <w:rPr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prostřednictvím </w:t>
      </w:r>
      <w:r>
        <w:rPr>
          <w:b/>
          <w:sz w:val="23"/>
          <w:szCs w:val="23"/>
        </w:rPr>
        <w:t>datové schránky</w:t>
      </w:r>
      <w:r>
        <w:rPr>
          <w:color w:val="auto"/>
          <w:sz w:val="23"/>
          <w:szCs w:val="23"/>
        </w:rPr>
        <w:t xml:space="preserve"> </w:t>
      </w:r>
      <w:r w:rsidRPr="00D60275">
        <w:rPr>
          <w:color w:val="auto"/>
          <w:sz w:val="23"/>
          <w:szCs w:val="23"/>
        </w:rPr>
        <w:t xml:space="preserve">a to </w:t>
      </w:r>
      <w:r>
        <w:rPr>
          <w:color w:val="auto"/>
        </w:rPr>
        <w:t xml:space="preserve">od </w:t>
      </w:r>
      <w:r w:rsidRPr="0052649C">
        <w:rPr>
          <w:b/>
          <w:color w:val="auto"/>
        </w:rPr>
        <w:t>1. 4. 202</w:t>
      </w:r>
      <w:r>
        <w:rPr>
          <w:b/>
          <w:color w:val="auto"/>
        </w:rPr>
        <w:t>6</w:t>
      </w:r>
      <w:r>
        <w:rPr>
          <w:color w:val="auto"/>
        </w:rPr>
        <w:t xml:space="preserve"> </w:t>
      </w:r>
      <w:r w:rsidRPr="00DE7AF9">
        <w:rPr>
          <w:color w:val="auto"/>
        </w:rPr>
        <w:t xml:space="preserve">do </w:t>
      </w:r>
      <w:r>
        <w:rPr>
          <w:b/>
          <w:color w:val="auto"/>
        </w:rPr>
        <w:t>12. 6</w:t>
      </w:r>
      <w:r w:rsidRPr="00DE7AF9">
        <w:rPr>
          <w:b/>
          <w:color w:val="auto"/>
        </w:rPr>
        <w:t>. 202</w:t>
      </w:r>
      <w:r>
        <w:rPr>
          <w:b/>
          <w:color w:val="auto"/>
        </w:rPr>
        <w:t>6</w:t>
      </w:r>
      <w:r>
        <w:rPr>
          <w:b/>
          <w:bCs/>
          <w:color w:val="auto"/>
          <w:sz w:val="23"/>
          <w:szCs w:val="23"/>
        </w:rPr>
        <w:t xml:space="preserve">. </w:t>
      </w:r>
      <w:r w:rsidRPr="00D60275">
        <w:rPr>
          <w:b/>
          <w:bCs/>
          <w:color w:val="auto"/>
          <w:sz w:val="23"/>
          <w:szCs w:val="23"/>
        </w:rPr>
        <w:t xml:space="preserve"> </w:t>
      </w:r>
    </w:p>
    <w:p w:rsidR="009C4740" w:rsidRDefault="009C4740" w:rsidP="00E606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DS Ministerstva kultury: 8spaaur</w:t>
      </w:r>
    </w:p>
    <w:p w:rsidR="009C4740" w:rsidRDefault="009C4740" w:rsidP="00E60615">
      <w:pPr>
        <w:pStyle w:val="Default"/>
        <w:rPr>
          <w:sz w:val="28"/>
          <w:szCs w:val="28"/>
        </w:rPr>
      </w:pPr>
    </w:p>
    <w:p w:rsidR="009C4740" w:rsidRDefault="009C4740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Část V.</w:t>
      </w:r>
    </w:p>
    <w:p w:rsidR="009C4740" w:rsidRPr="003572CA" w:rsidRDefault="009C4740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Hodnocení žádostí</w:t>
      </w:r>
    </w:p>
    <w:p w:rsidR="009C4740" w:rsidRPr="009C4740" w:rsidRDefault="009C4740" w:rsidP="00E60615">
      <w:pPr>
        <w:spacing w:line="240" w:lineRule="auto"/>
        <w:jc w:val="both"/>
        <w:rPr>
          <w:b/>
          <w:sz w:val="16"/>
          <w:szCs w:val="16"/>
        </w:rPr>
      </w:pPr>
    </w:p>
    <w:p w:rsidR="000F6499" w:rsidRPr="00DE7AF9" w:rsidRDefault="000F6499" w:rsidP="00E60615">
      <w:pPr>
        <w:pStyle w:val="Default"/>
        <w:jc w:val="both"/>
        <w:rPr>
          <w:color w:val="auto"/>
        </w:rPr>
      </w:pPr>
      <w:bookmarkStart w:id="5" w:name="_Hlk151369137"/>
      <w:r w:rsidRPr="00DE7AF9">
        <w:rPr>
          <w:color w:val="auto"/>
        </w:rPr>
        <w:t>Odbor památkové péče M</w:t>
      </w:r>
      <w:r w:rsidR="005D098E" w:rsidRPr="00DE7AF9">
        <w:rPr>
          <w:color w:val="auto"/>
        </w:rPr>
        <w:t>inisterstva kultury</w:t>
      </w:r>
      <w:r w:rsidRPr="00DE7AF9">
        <w:rPr>
          <w:color w:val="auto"/>
        </w:rPr>
        <w:t xml:space="preserve"> posuzuje</w:t>
      </w:r>
      <w:r w:rsidR="00AD5F0D" w:rsidRPr="00DE7AF9">
        <w:rPr>
          <w:color w:val="auto"/>
        </w:rPr>
        <w:t xml:space="preserve"> a hodnotí</w:t>
      </w:r>
      <w:r w:rsidRPr="00DE7AF9">
        <w:rPr>
          <w:color w:val="auto"/>
        </w:rPr>
        <w:t xml:space="preserve">: </w:t>
      </w:r>
    </w:p>
    <w:p w:rsidR="000F6499" w:rsidRPr="00DE7AF9" w:rsidRDefault="00B82B01" w:rsidP="00E60615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DE7AF9">
        <w:rPr>
          <w:color w:val="auto"/>
        </w:rPr>
        <w:t>Žádost</w:t>
      </w:r>
      <w:r w:rsidR="00D60275" w:rsidRPr="00DE7AF9">
        <w:rPr>
          <w:color w:val="auto"/>
        </w:rPr>
        <w:t xml:space="preserve"> byl</w:t>
      </w:r>
      <w:r w:rsidRPr="00DE7AF9">
        <w:rPr>
          <w:color w:val="auto"/>
        </w:rPr>
        <w:t>a</w:t>
      </w:r>
      <w:r w:rsidR="00D60275" w:rsidRPr="00DE7AF9">
        <w:rPr>
          <w:color w:val="auto"/>
        </w:rPr>
        <w:t xml:space="preserve"> p</w:t>
      </w:r>
      <w:r w:rsidR="000F6499" w:rsidRPr="00DE7AF9">
        <w:rPr>
          <w:color w:val="auto"/>
        </w:rPr>
        <w:t>odán</w:t>
      </w:r>
      <w:r w:rsidRPr="00DE7AF9">
        <w:rPr>
          <w:color w:val="auto"/>
        </w:rPr>
        <w:t>a</w:t>
      </w:r>
      <w:r w:rsidR="000F6499" w:rsidRPr="00DE7AF9">
        <w:rPr>
          <w:color w:val="auto"/>
        </w:rPr>
        <w:t xml:space="preserve"> ve stanoveném termínu; </w:t>
      </w:r>
    </w:p>
    <w:p w:rsidR="000F6499" w:rsidRPr="00DE7AF9" w:rsidRDefault="00B82B01" w:rsidP="00E60615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DE7AF9">
        <w:rPr>
          <w:color w:val="auto"/>
        </w:rPr>
        <w:t>Žádost byla podána</w:t>
      </w:r>
      <w:r w:rsidR="000F6499" w:rsidRPr="00DE7AF9">
        <w:rPr>
          <w:color w:val="auto"/>
        </w:rPr>
        <w:t xml:space="preserve"> na standardizovan</w:t>
      </w:r>
      <w:r w:rsidRPr="00DE7AF9">
        <w:rPr>
          <w:color w:val="auto"/>
        </w:rPr>
        <w:t>ých</w:t>
      </w:r>
      <w:r w:rsidR="000F6499" w:rsidRPr="00DE7AF9">
        <w:rPr>
          <w:color w:val="auto"/>
        </w:rPr>
        <w:t xml:space="preserve"> </w:t>
      </w:r>
      <w:r w:rsidR="00E41B6F" w:rsidRPr="00DE7AF9">
        <w:rPr>
          <w:color w:val="auto"/>
        </w:rPr>
        <w:t>aktuální</w:t>
      </w:r>
      <w:r w:rsidRPr="00DE7AF9">
        <w:rPr>
          <w:color w:val="auto"/>
        </w:rPr>
        <w:t xml:space="preserve">ch </w:t>
      </w:r>
      <w:r w:rsidR="000F6499" w:rsidRPr="00DE7AF9">
        <w:rPr>
          <w:color w:val="auto"/>
        </w:rPr>
        <w:t>formu</w:t>
      </w:r>
      <w:r w:rsidR="00080490" w:rsidRPr="00DE7AF9">
        <w:rPr>
          <w:color w:val="auto"/>
        </w:rPr>
        <w:t>lář</w:t>
      </w:r>
      <w:r w:rsidRPr="00DE7AF9">
        <w:rPr>
          <w:color w:val="auto"/>
        </w:rPr>
        <w:t>ích</w:t>
      </w:r>
      <w:r w:rsidR="00080490" w:rsidRPr="00DE7AF9">
        <w:rPr>
          <w:color w:val="auto"/>
        </w:rPr>
        <w:t xml:space="preserve"> pro rok </w:t>
      </w:r>
      <w:r w:rsidR="00417F53" w:rsidRPr="00DE7AF9">
        <w:rPr>
          <w:color w:val="auto"/>
        </w:rPr>
        <w:t>202</w:t>
      </w:r>
      <w:r w:rsidR="002422F1">
        <w:rPr>
          <w:color w:val="auto"/>
        </w:rPr>
        <w:t>6</w:t>
      </w:r>
      <w:r w:rsidR="00080490" w:rsidRPr="00DE7AF9">
        <w:rPr>
          <w:color w:val="auto"/>
        </w:rPr>
        <w:t xml:space="preserve">, včetně všech </w:t>
      </w:r>
      <w:r w:rsidR="000F6499" w:rsidRPr="00DE7AF9">
        <w:rPr>
          <w:color w:val="auto"/>
        </w:rPr>
        <w:t xml:space="preserve">předepsaných příloh; </w:t>
      </w:r>
    </w:p>
    <w:p w:rsidR="000F6499" w:rsidRPr="00DE7AF9" w:rsidRDefault="00B82B01" w:rsidP="00E60615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DE7AF9">
        <w:rPr>
          <w:color w:val="auto"/>
        </w:rPr>
        <w:t>Žádost</w:t>
      </w:r>
      <w:r w:rsidR="000F6499" w:rsidRPr="00DE7AF9">
        <w:rPr>
          <w:color w:val="auto"/>
        </w:rPr>
        <w:t xml:space="preserve"> včetně příloh je vyplněn</w:t>
      </w:r>
      <w:r w:rsidRPr="00DE7AF9">
        <w:rPr>
          <w:color w:val="auto"/>
        </w:rPr>
        <w:t>a</w:t>
      </w:r>
      <w:r w:rsidR="000F6499" w:rsidRPr="00DE7AF9">
        <w:rPr>
          <w:color w:val="auto"/>
        </w:rPr>
        <w:t xml:space="preserve"> úplně a správně; </w:t>
      </w:r>
    </w:p>
    <w:p w:rsidR="000F6499" w:rsidRPr="00DE7AF9" w:rsidRDefault="00B82B01" w:rsidP="00E60615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DE7AF9">
        <w:rPr>
          <w:color w:val="auto"/>
        </w:rPr>
        <w:t>Žádost</w:t>
      </w:r>
      <w:r w:rsidR="00180B24" w:rsidRPr="00DE7AF9">
        <w:rPr>
          <w:color w:val="auto"/>
        </w:rPr>
        <w:t xml:space="preserve"> </w:t>
      </w:r>
      <w:r w:rsidR="000F6499" w:rsidRPr="00DE7AF9">
        <w:rPr>
          <w:color w:val="auto"/>
        </w:rPr>
        <w:t>je podepsán</w:t>
      </w:r>
      <w:r w:rsidRPr="00DE7AF9">
        <w:rPr>
          <w:color w:val="auto"/>
        </w:rPr>
        <w:t>a</w:t>
      </w:r>
      <w:r w:rsidR="00847A68" w:rsidRPr="00DE7AF9">
        <w:rPr>
          <w:color w:val="auto"/>
        </w:rPr>
        <w:t xml:space="preserve"> </w:t>
      </w:r>
      <w:r w:rsidR="002422F1">
        <w:rPr>
          <w:color w:val="auto"/>
        </w:rPr>
        <w:t>žadatelem;</w:t>
      </w:r>
      <w:r w:rsidR="000F6499" w:rsidRPr="00DE7AF9">
        <w:rPr>
          <w:color w:val="auto"/>
        </w:rPr>
        <w:t xml:space="preserve"> </w:t>
      </w:r>
    </w:p>
    <w:p w:rsidR="000F6499" w:rsidRPr="00DE7AF9" w:rsidRDefault="00B82B01" w:rsidP="00E60615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DE7AF9">
        <w:rPr>
          <w:color w:val="auto"/>
        </w:rPr>
        <w:t>Žádost</w:t>
      </w:r>
      <w:r w:rsidR="000F6499" w:rsidRPr="00DE7AF9">
        <w:rPr>
          <w:color w:val="auto"/>
        </w:rPr>
        <w:t xml:space="preserve"> je podepsán</w:t>
      </w:r>
      <w:r w:rsidRPr="00DE7AF9">
        <w:rPr>
          <w:color w:val="auto"/>
        </w:rPr>
        <w:t>a</w:t>
      </w:r>
      <w:r w:rsidR="000F6499" w:rsidRPr="00DE7AF9">
        <w:rPr>
          <w:color w:val="auto"/>
        </w:rPr>
        <w:t xml:space="preserve"> a doporučen</w:t>
      </w:r>
      <w:r w:rsidRPr="00DE7AF9">
        <w:rPr>
          <w:color w:val="auto"/>
        </w:rPr>
        <w:t>a</w:t>
      </w:r>
      <w:r w:rsidR="000F6499" w:rsidRPr="00DE7AF9">
        <w:rPr>
          <w:color w:val="auto"/>
        </w:rPr>
        <w:t xml:space="preserve"> všemi předepsanými institucemi; </w:t>
      </w:r>
    </w:p>
    <w:p w:rsidR="008657AC" w:rsidRPr="00DE7AF9" w:rsidRDefault="00B82B01" w:rsidP="00E60615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DE7AF9">
        <w:rPr>
          <w:color w:val="auto"/>
        </w:rPr>
        <w:t xml:space="preserve">V rámci návrhu výše dotace </w:t>
      </w:r>
      <w:r w:rsidR="00983329" w:rsidRPr="00DE7AF9">
        <w:rPr>
          <w:color w:val="auto"/>
        </w:rPr>
        <w:t>se přihlíží ke</w:t>
      </w:r>
      <w:r w:rsidRPr="00DE7AF9">
        <w:rPr>
          <w:color w:val="auto"/>
        </w:rPr>
        <w:t xml:space="preserve"> koeficient</w:t>
      </w:r>
      <w:r w:rsidR="00983329" w:rsidRPr="00DE7AF9">
        <w:rPr>
          <w:color w:val="auto"/>
        </w:rPr>
        <w:t>u</w:t>
      </w:r>
      <w:r w:rsidRPr="00DE7AF9">
        <w:rPr>
          <w:color w:val="auto"/>
        </w:rPr>
        <w:t xml:space="preserve"> aktivity města</w:t>
      </w:r>
      <w:r w:rsidR="00204B37" w:rsidRPr="00DE7AF9">
        <w:rPr>
          <w:bCs/>
        </w:rPr>
        <w:t>;</w:t>
      </w:r>
    </w:p>
    <w:p w:rsidR="00681FE5" w:rsidRPr="0038432A" w:rsidRDefault="00204B37" w:rsidP="00E60615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DE7AF9">
        <w:rPr>
          <w:color w:val="auto"/>
        </w:rPr>
        <w:t>Je splněn účel žádosti.</w:t>
      </w:r>
    </w:p>
    <w:p w:rsidR="00EB6343" w:rsidRPr="0042570B" w:rsidRDefault="00EB6343" w:rsidP="00E60615">
      <w:pPr>
        <w:pStyle w:val="Default"/>
        <w:spacing w:after="80"/>
        <w:jc w:val="both"/>
        <w:rPr>
          <w:color w:val="auto"/>
          <w:sz w:val="16"/>
          <w:szCs w:val="16"/>
        </w:rPr>
      </w:pPr>
      <w:bookmarkStart w:id="6" w:name="_Hlk151369208"/>
      <w:bookmarkEnd w:id="5"/>
    </w:p>
    <w:p w:rsidR="00D01048" w:rsidRPr="00D01048" w:rsidRDefault="00885CFD" w:rsidP="00E60615">
      <w:pPr>
        <w:pStyle w:val="Default"/>
        <w:spacing w:after="80"/>
        <w:jc w:val="both"/>
        <w:rPr>
          <w:color w:val="auto"/>
        </w:rPr>
      </w:pPr>
      <w:r w:rsidRPr="00DE7AF9">
        <w:rPr>
          <w:color w:val="auto"/>
        </w:rPr>
        <w:t>Pozdě podané</w:t>
      </w:r>
      <w:r w:rsidR="00A1724C" w:rsidRPr="00DE7AF9">
        <w:rPr>
          <w:color w:val="auto"/>
        </w:rPr>
        <w:t xml:space="preserve"> </w:t>
      </w:r>
      <w:r w:rsidR="00B82B01" w:rsidRPr="00DE7AF9">
        <w:rPr>
          <w:color w:val="auto"/>
        </w:rPr>
        <w:t>žádosti</w:t>
      </w:r>
      <w:r w:rsidR="00EA0DFE" w:rsidRPr="00DE7AF9">
        <w:rPr>
          <w:color w:val="auto"/>
        </w:rPr>
        <w:t xml:space="preserve"> budou vyřazeny a nebudou dále hodnoceny. Neúplné </w:t>
      </w:r>
      <w:r w:rsidR="00B82B01" w:rsidRPr="00DE7AF9">
        <w:rPr>
          <w:color w:val="auto"/>
        </w:rPr>
        <w:t>žádosti</w:t>
      </w:r>
      <w:r w:rsidR="00EA0DFE" w:rsidRPr="00DE7AF9">
        <w:rPr>
          <w:color w:val="auto"/>
        </w:rPr>
        <w:t xml:space="preserve"> (které nebudou ke stanovenému termínu na výzvu </w:t>
      </w:r>
      <w:r w:rsidR="005D098E" w:rsidRPr="00DE7AF9">
        <w:rPr>
          <w:color w:val="auto"/>
        </w:rPr>
        <w:t>Ministerstva kultury</w:t>
      </w:r>
      <w:r w:rsidR="00EA0DFE" w:rsidRPr="00DE7AF9">
        <w:rPr>
          <w:color w:val="auto"/>
        </w:rPr>
        <w:t xml:space="preserve"> doplněny)</w:t>
      </w:r>
      <w:r w:rsidRPr="00DE7AF9">
        <w:rPr>
          <w:color w:val="auto"/>
        </w:rPr>
        <w:t xml:space="preserve"> </w:t>
      </w:r>
      <w:r w:rsidR="00A1724C" w:rsidRPr="00DE7AF9">
        <w:rPr>
          <w:color w:val="auto"/>
        </w:rPr>
        <w:t>budou</w:t>
      </w:r>
      <w:r w:rsidRPr="00DE7AF9">
        <w:rPr>
          <w:color w:val="auto"/>
        </w:rPr>
        <w:t xml:space="preserve"> </w:t>
      </w:r>
      <w:r w:rsidR="00A1724C" w:rsidRPr="00DE7AF9">
        <w:rPr>
          <w:color w:val="auto"/>
        </w:rPr>
        <w:t>vyřazeny a</w:t>
      </w:r>
      <w:r w:rsidR="00DE7AF9">
        <w:rPr>
          <w:color w:val="auto"/>
        </w:rPr>
        <w:t> </w:t>
      </w:r>
      <w:r w:rsidR="000F6499" w:rsidRPr="00DE7AF9">
        <w:rPr>
          <w:color w:val="auto"/>
        </w:rPr>
        <w:t>nebud</w:t>
      </w:r>
      <w:r w:rsidRPr="00DE7AF9">
        <w:rPr>
          <w:color w:val="auto"/>
        </w:rPr>
        <w:t>ou</w:t>
      </w:r>
      <w:r w:rsidR="000F6499" w:rsidRPr="00DE7AF9">
        <w:rPr>
          <w:color w:val="auto"/>
        </w:rPr>
        <w:t xml:space="preserve"> </w:t>
      </w:r>
      <w:r w:rsidR="00560639" w:rsidRPr="00DE7AF9">
        <w:rPr>
          <w:color w:val="auto"/>
        </w:rPr>
        <w:t>dále hodnoceny</w:t>
      </w:r>
      <w:r w:rsidR="00EA0DFE" w:rsidRPr="00DE7AF9">
        <w:rPr>
          <w:color w:val="auto"/>
        </w:rPr>
        <w:t>.</w:t>
      </w:r>
      <w:r w:rsidR="00560639" w:rsidRPr="00DE7AF9">
        <w:rPr>
          <w:color w:val="auto"/>
        </w:rPr>
        <w:t xml:space="preserve"> </w:t>
      </w:r>
      <w:r w:rsidR="00AD5F0D" w:rsidRPr="00DE7AF9">
        <w:rPr>
          <w:color w:val="auto"/>
        </w:rPr>
        <w:t>Nehodnocené</w:t>
      </w:r>
      <w:r w:rsidR="00560639" w:rsidRPr="00DE7AF9">
        <w:rPr>
          <w:color w:val="auto"/>
        </w:rPr>
        <w:t xml:space="preserve"> </w:t>
      </w:r>
      <w:r w:rsidR="00B82B01" w:rsidRPr="00DE7AF9">
        <w:rPr>
          <w:color w:val="auto"/>
        </w:rPr>
        <w:t>žádosti</w:t>
      </w:r>
      <w:r w:rsidR="00560639" w:rsidRPr="00DE7AF9">
        <w:rPr>
          <w:color w:val="auto"/>
        </w:rPr>
        <w:t xml:space="preserve"> budou zaevidovány s</w:t>
      </w:r>
      <w:r w:rsidR="00020274" w:rsidRPr="00DE7AF9">
        <w:rPr>
          <w:color w:val="auto"/>
        </w:rPr>
        <w:t> </w:t>
      </w:r>
      <w:r w:rsidR="00560639" w:rsidRPr="00DE7AF9">
        <w:rPr>
          <w:color w:val="auto"/>
        </w:rPr>
        <w:t xml:space="preserve">uvedením </w:t>
      </w:r>
      <w:r w:rsidR="00421480" w:rsidRPr="00DE7AF9">
        <w:rPr>
          <w:color w:val="auto"/>
        </w:rPr>
        <w:t>důvodu vyřazení, který</w:t>
      </w:r>
      <w:r w:rsidR="000D097F" w:rsidRPr="00DE7AF9">
        <w:rPr>
          <w:color w:val="auto"/>
        </w:rPr>
        <w:t xml:space="preserve"> </w:t>
      </w:r>
      <w:r w:rsidR="00EA0DFE" w:rsidRPr="00DE7AF9">
        <w:rPr>
          <w:color w:val="auto"/>
        </w:rPr>
        <w:t>Ústřední komis</w:t>
      </w:r>
      <w:r w:rsidR="007B09FA" w:rsidRPr="00DE7AF9">
        <w:rPr>
          <w:color w:val="auto"/>
        </w:rPr>
        <w:t>e</w:t>
      </w:r>
      <w:r w:rsidR="00EA0DFE" w:rsidRPr="00DE7AF9">
        <w:rPr>
          <w:color w:val="auto"/>
        </w:rPr>
        <w:t xml:space="preserve"> pro Program regenerace městských památkových rezervací a</w:t>
      </w:r>
      <w:r w:rsidR="00DE7AF9">
        <w:rPr>
          <w:color w:val="auto"/>
        </w:rPr>
        <w:t> </w:t>
      </w:r>
      <w:r w:rsidR="00EA0DFE" w:rsidRPr="00DE7AF9">
        <w:rPr>
          <w:color w:val="auto"/>
        </w:rPr>
        <w:t xml:space="preserve">městských památkových zón </w:t>
      </w:r>
      <w:r w:rsidR="00560639" w:rsidRPr="00DE7AF9">
        <w:rPr>
          <w:color w:val="auto"/>
        </w:rPr>
        <w:t>vezme na vědomí</w:t>
      </w:r>
      <w:r w:rsidR="00FA0BA6" w:rsidRPr="00DE7AF9">
        <w:rPr>
          <w:color w:val="auto"/>
        </w:rPr>
        <w:t xml:space="preserve"> (žadatelé budou o této skutečnosti vyrozuměni).</w:t>
      </w:r>
    </w:p>
    <w:p w:rsidR="00922C08" w:rsidRDefault="000F6499" w:rsidP="00E60615">
      <w:pPr>
        <w:pStyle w:val="Default"/>
        <w:spacing w:after="80"/>
        <w:jc w:val="both"/>
        <w:rPr>
          <w:b/>
          <w:bCs/>
          <w:color w:val="auto"/>
        </w:rPr>
      </w:pPr>
      <w:r w:rsidRPr="00DE7AF9">
        <w:rPr>
          <w:color w:val="auto"/>
        </w:rPr>
        <w:t xml:space="preserve">Na základě hodnocení je proveden </w:t>
      </w:r>
      <w:r w:rsidR="007C14C9" w:rsidRPr="00DE7AF9">
        <w:rPr>
          <w:color w:val="auto"/>
        </w:rPr>
        <w:t>návrh výše dotací</w:t>
      </w:r>
      <w:r w:rsidRPr="00DE7AF9">
        <w:rPr>
          <w:color w:val="auto"/>
        </w:rPr>
        <w:t>, k</w:t>
      </w:r>
      <w:r w:rsidR="00E942ED" w:rsidRPr="00DE7AF9">
        <w:rPr>
          <w:color w:val="auto"/>
        </w:rPr>
        <w:t> němuž se vyjadřuje a k</w:t>
      </w:r>
      <w:r w:rsidR="00A1724C" w:rsidRPr="00DE7AF9">
        <w:rPr>
          <w:color w:val="auto"/>
        </w:rPr>
        <w:t>terý</w:t>
      </w:r>
      <w:r w:rsidR="00F60C7F" w:rsidRPr="00DE7AF9">
        <w:rPr>
          <w:color w:val="auto"/>
        </w:rPr>
        <w:t xml:space="preserve"> sch</w:t>
      </w:r>
      <w:r w:rsidR="00A1724C" w:rsidRPr="00DE7AF9">
        <w:rPr>
          <w:color w:val="auto"/>
        </w:rPr>
        <w:t xml:space="preserve">valuje </w:t>
      </w:r>
      <w:r w:rsidR="007B09FA" w:rsidRPr="00DE7AF9">
        <w:rPr>
          <w:color w:val="auto"/>
        </w:rPr>
        <w:t>Ústřední komise pro Program regenerace městských památkových rezervací a městských památkových zón</w:t>
      </w:r>
      <w:r w:rsidR="00054BE6" w:rsidRPr="00DE7AF9">
        <w:rPr>
          <w:color w:val="auto"/>
        </w:rPr>
        <w:t xml:space="preserve">, </w:t>
      </w:r>
      <w:r w:rsidR="00647F7F">
        <w:rPr>
          <w:color w:val="auto"/>
        </w:rPr>
        <w:t>obvykle v červenci</w:t>
      </w:r>
      <w:r w:rsidR="00F60C7F" w:rsidRPr="00DE7AF9">
        <w:rPr>
          <w:color w:val="auto"/>
        </w:rPr>
        <w:t xml:space="preserve">. </w:t>
      </w:r>
      <w:bookmarkStart w:id="7" w:name="_Hlk151369304"/>
      <w:r w:rsidR="00D64D78" w:rsidRPr="00DE7AF9">
        <w:rPr>
          <w:b/>
          <w:bCs/>
          <w:color w:val="auto"/>
        </w:rPr>
        <w:t xml:space="preserve">Výsledek jednání Ústřední komise pro Program </w:t>
      </w:r>
      <w:r w:rsidR="00D64D78" w:rsidRPr="00DE7AF9">
        <w:rPr>
          <w:b/>
          <w:bCs/>
          <w:color w:val="auto"/>
        </w:rPr>
        <w:lastRenderedPageBreak/>
        <w:t xml:space="preserve">regenerace městských památkových rezervací a městských památkových zón po odsouhlasení ministrem kultury je konečný a nelze se proti němu odvolat. </w:t>
      </w:r>
      <w:bookmarkEnd w:id="7"/>
      <w:bookmarkEnd w:id="6"/>
    </w:p>
    <w:p w:rsidR="00EB6343" w:rsidRPr="00086FEC" w:rsidRDefault="00EB6343" w:rsidP="00E60615">
      <w:pPr>
        <w:pStyle w:val="Default"/>
        <w:spacing w:after="80"/>
        <w:jc w:val="both"/>
        <w:rPr>
          <w:color w:val="auto"/>
        </w:rPr>
      </w:pPr>
    </w:p>
    <w:p w:rsidR="00922C08" w:rsidRDefault="00922C08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Část VI.</w:t>
      </w:r>
    </w:p>
    <w:p w:rsidR="00922C08" w:rsidRDefault="00922C08" w:rsidP="00E60615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sz w:val="28"/>
          <w:szCs w:val="28"/>
        </w:rPr>
        <w:t>Informace o výsledcích</w:t>
      </w:r>
    </w:p>
    <w:p w:rsidR="00EB6343" w:rsidRDefault="00EB6343" w:rsidP="00EB6343">
      <w:pPr>
        <w:pStyle w:val="Default"/>
        <w:jc w:val="both"/>
        <w:rPr>
          <w:b/>
          <w:bCs/>
          <w:color w:val="auto"/>
          <w:sz w:val="16"/>
          <w:szCs w:val="16"/>
        </w:rPr>
      </w:pPr>
    </w:p>
    <w:p w:rsidR="000F6499" w:rsidRPr="00DE7AF9" w:rsidRDefault="000F6499" w:rsidP="00EB6343">
      <w:pPr>
        <w:pStyle w:val="Default"/>
        <w:jc w:val="both"/>
        <w:rPr>
          <w:color w:val="auto"/>
        </w:rPr>
      </w:pPr>
      <w:r w:rsidRPr="00DE7AF9">
        <w:rPr>
          <w:color w:val="auto"/>
        </w:rPr>
        <w:t xml:space="preserve">S výsledky </w:t>
      </w:r>
      <w:r w:rsidR="00983329" w:rsidRPr="00DE7AF9">
        <w:rPr>
          <w:color w:val="auto"/>
        </w:rPr>
        <w:t>pro</w:t>
      </w:r>
      <w:r w:rsidRPr="00DE7AF9">
        <w:rPr>
          <w:color w:val="auto"/>
        </w:rPr>
        <w:t>jednání</w:t>
      </w:r>
      <w:r w:rsidR="00983329" w:rsidRPr="00DE7AF9">
        <w:rPr>
          <w:color w:val="auto"/>
        </w:rPr>
        <w:t xml:space="preserve"> v</w:t>
      </w:r>
      <w:r w:rsidR="009B2C2E" w:rsidRPr="00DE7AF9">
        <w:rPr>
          <w:color w:val="auto"/>
        </w:rPr>
        <w:t xml:space="preserve"> </w:t>
      </w:r>
      <w:r w:rsidR="005D2D74" w:rsidRPr="00DE7AF9">
        <w:rPr>
          <w:color w:val="auto"/>
        </w:rPr>
        <w:t>Ústřední komis</w:t>
      </w:r>
      <w:r w:rsidR="00983329" w:rsidRPr="00DE7AF9">
        <w:rPr>
          <w:color w:val="auto"/>
        </w:rPr>
        <w:t>i</w:t>
      </w:r>
      <w:r w:rsidR="005D2D74" w:rsidRPr="00DE7AF9">
        <w:rPr>
          <w:color w:val="auto"/>
        </w:rPr>
        <w:t xml:space="preserve"> pro Program regenerace městských památkových rezervací a městských památkových zón</w:t>
      </w:r>
      <w:r w:rsidR="009B2C2E" w:rsidRPr="00DE7AF9">
        <w:rPr>
          <w:color w:val="auto"/>
        </w:rPr>
        <w:t xml:space="preserve"> </w:t>
      </w:r>
      <w:r w:rsidRPr="00DE7AF9">
        <w:rPr>
          <w:color w:val="auto"/>
        </w:rPr>
        <w:t xml:space="preserve">jsou </w:t>
      </w:r>
      <w:r w:rsidR="005D2D74" w:rsidRPr="00DE7AF9">
        <w:rPr>
          <w:color w:val="auto"/>
        </w:rPr>
        <w:t>města s MPR nebo MPZ</w:t>
      </w:r>
      <w:r w:rsidR="006717A2" w:rsidRPr="00DE7AF9">
        <w:rPr>
          <w:color w:val="auto"/>
        </w:rPr>
        <w:t>, PR Kuks</w:t>
      </w:r>
      <w:r w:rsidR="00983329" w:rsidRPr="00DE7AF9">
        <w:rPr>
          <w:color w:val="auto"/>
        </w:rPr>
        <w:t>, kraje</w:t>
      </w:r>
      <w:r w:rsidRPr="00DE7AF9">
        <w:rPr>
          <w:color w:val="auto"/>
        </w:rPr>
        <w:t xml:space="preserve"> seznámen</w:t>
      </w:r>
      <w:r w:rsidR="00983329" w:rsidRPr="00DE7AF9">
        <w:rPr>
          <w:color w:val="auto"/>
        </w:rPr>
        <w:t>y</w:t>
      </w:r>
      <w:r w:rsidRPr="00DE7AF9">
        <w:rPr>
          <w:color w:val="auto"/>
        </w:rPr>
        <w:t xml:space="preserve">: </w:t>
      </w:r>
    </w:p>
    <w:p w:rsidR="00922C08" w:rsidRDefault="00086FEC" w:rsidP="00E60615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T</w:t>
      </w:r>
      <w:r w:rsidR="00922C08">
        <w:rPr>
          <w:color w:val="auto"/>
        </w:rPr>
        <w:t>elefonicky</w:t>
      </w:r>
      <w:r>
        <w:rPr>
          <w:color w:val="auto"/>
        </w:rPr>
        <w:t>;</w:t>
      </w:r>
    </w:p>
    <w:p w:rsidR="000F6499" w:rsidRPr="00DC1A5F" w:rsidRDefault="00086FEC" w:rsidP="00E60615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t>V</w:t>
      </w:r>
      <w:r w:rsidR="00334E07" w:rsidRPr="00DC1A5F">
        <w:t>ydáním rozhodnutí Ministerstva kultury o poskytnutí dotace v souladu s § 14 zákona č. 218/2000 Sb., o rozpočtových pravidlech a o změně některých souvisejících zákonů (rozpočtová pravidla), ve znění pozdějších předpisů. Rozhodnutí je vydáváno vždy na jeden kalendářní rok</w:t>
      </w:r>
      <w:r>
        <w:t>;</w:t>
      </w:r>
    </w:p>
    <w:p w:rsidR="00922C08" w:rsidRPr="008C44D3" w:rsidRDefault="00086FEC" w:rsidP="00E60615">
      <w:pPr>
        <w:pStyle w:val="Default"/>
        <w:numPr>
          <w:ilvl w:val="0"/>
          <w:numId w:val="2"/>
        </w:numPr>
        <w:jc w:val="both"/>
        <w:rPr>
          <w:color w:val="auto"/>
        </w:rPr>
      </w:pPr>
      <w:bookmarkStart w:id="8" w:name="_Hlk151531103"/>
      <w:r>
        <w:rPr>
          <w:color w:val="auto"/>
        </w:rPr>
        <w:t>V</w:t>
      </w:r>
      <w:r w:rsidR="001D3E27" w:rsidRPr="00DE7AF9">
        <w:rPr>
          <w:color w:val="auto"/>
        </w:rPr>
        <w:t xml:space="preserve">ydáním rozhodnutí </w:t>
      </w:r>
      <w:r w:rsidR="007810B4" w:rsidRPr="00DE7AF9">
        <w:rPr>
          <w:color w:val="auto"/>
        </w:rPr>
        <w:t>Ministerstva kultury</w:t>
      </w:r>
      <w:r w:rsidR="001D3E27" w:rsidRPr="00DE7AF9">
        <w:rPr>
          <w:color w:val="auto"/>
        </w:rPr>
        <w:t xml:space="preserve"> o zamítnutí žádost</w:t>
      </w:r>
      <w:r w:rsidR="00457568" w:rsidRPr="00DE7AF9">
        <w:rPr>
          <w:color w:val="auto"/>
        </w:rPr>
        <w:t>í ve sloučeném řízení</w:t>
      </w:r>
      <w:r w:rsidR="001D3E27" w:rsidRPr="00DE7AF9">
        <w:rPr>
          <w:color w:val="auto"/>
        </w:rPr>
        <w:t xml:space="preserve">; toto rozhodnutí se zveřejňuje veřejnou vyhláškou způsobem umožňujícím dálkový přístup, na </w:t>
      </w:r>
      <w:r w:rsidR="00D64D78">
        <w:rPr>
          <w:color w:val="auto"/>
        </w:rPr>
        <w:t>úřední desce</w:t>
      </w:r>
      <w:r w:rsidR="001D3E27" w:rsidRPr="00DE7AF9">
        <w:rPr>
          <w:color w:val="auto"/>
        </w:rPr>
        <w:t xml:space="preserve"> </w:t>
      </w:r>
      <w:r w:rsidR="00AE3DFF" w:rsidRPr="00DE7AF9">
        <w:rPr>
          <w:color w:val="auto"/>
        </w:rPr>
        <w:t>Ministerstva kultury</w:t>
      </w:r>
      <w:r w:rsidR="00922C08">
        <w:rPr>
          <w:color w:val="auto"/>
        </w:rPr>
        <w:t>.</w:t>
      </w:r>
      <w:r w:rsidR="001D3E27" w:rsidRPr="00DE7AF9">
        <w:rPr>
          <w:color w:val="auto"/>
        </w:rPr>
        <w:t xml:space="preserve"> </w:t>
      </w:r>
      <w:bookmarkStart w:id="9" w:name="_Hlk151369370"/>
      <w:bookmarkEnd w:id="8"/>
    </w:p>
    <w:p w:rsidR="00922C08" w:rsidRDefault="00922C08" w:rsidP="00E60615">
      <w:pPr>
        <w:pStyle w:val="Default"/>
        <w:jc w:val="both"/>
        <w:rPr>
          <w:color w:val="auto"/>
          <w:sz w:val="23"/>
          <w:szCs w:val="23"/>
        </w:rPr>
      </w:pPr>
    </w:p>
    <w:p w:rsidR="00922C08" w:rsidRDefault="00922C08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Část VII.</w:t>
      </w:r>
    </w:p>
    <w:p w:rsidR="00922C08" w:rsidRDefault="00922C08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Podmínky a způsob poskytnutí dotace</w:t>
      </w:r>
    </w:p>
    <w:p w:rsidR="00922C08" w:rsidRPr="00922C08" w:rsidRDefault="00922C08" w:rsidP="00E60615">
      <w:pPr>
        <w:pStyle w:val="Default"/>
        <w:jc w:val="center"/>
        <w:rPr>
          <w:sz w:val="16"/>
          <w:szCs w:val="16"/>
        </w:rPr>
      </w:pPr>
    </w:p>
    <w:p w:rsidR="000F6499" w:rsidRPr="00922C08" w:rsidRDefault="000F6499" w:rsidP="00E60615">
      <w:pPr>
        <w:pStyle w:val="Default"/>
        <w:jc w:val="both"/>
        <w:rPr>
          <w:color w:val="auto"/>
        </w:rPr>
      </w:pPr>
      <w:r w:rsidRPr="00922C08">
        <w:rPr>
          <w:color w:val="auto"/>
        </w:rPr>
        <w:t xml:space="preserve">Poskytnutí </w:t>
      </w:r>
      <w:r w:rsidR="00457568" w:rsidRPr="00922C08">
        <w:rPr>
          <w:color w:val="auto"/>
        </w:rPr>
        <w:t xml:space="preserve">dotace </w:t>
      </w:r>
      <w:r w:rsidRPr="00922C08">
        <w:rPr>
          <w:color w:val="auto"/>
        </w:rPr>
        <w:t>ze státního rozpočtu ČR v</w:t>
      </w:r>
      <w:r w:rsidR="00A67A62" w:rsidRPr="00922C08">
        <w:rPr>
          <w:color w:val="auto"/>
        </w:rPr>
        <w:t> </w:t>
      </w:r>
      <w:r w:rsidR="004308EB" w:rsidRPr="00922C08">
        <w:rPr>
          <w:color w:val="auto"/>
        </w:rPr>
        <w:t>Programu regenerace městských památkových rezervací a městských památkových zón</w:t>
      </w:r>
      <w:r w:rsidR="00A67A62" w:rsidRPr="00922C08">
        <w:rPr>
          <w:color w:val="auto"/>
        </w:rPr>
        <w:t xml:space="preserve"> </w:t>
      </w:r>
      <w:r w:rsidR="00457568" w:rsidRPr="00922C08">
        <w:rPr>
          <w:color w:val="auto"/>
        </w:rPr>
        <w:t xml:space="preserve">na pořízení plánů ochrany </w:t>
      </w:r>
      <w:r w:rsidRPr="00922C08">
        <w:rPr>
          <w:color w:val="auto"/>
        </w:rPr>
        <w:t xml:space="preserve">se řídí obecně závaznými předpisy. </w:t>
      </w:r>
      <w:r w:rsidR="00457568" w:rsidRPr="00E77B5F">
        <w:rPr>
          <w:color w:val="auto"/>
        </w:rPr>
        <w:t>Do</w:t>
      </w:r>
      <w:r w:rsidR="004308EB" w:rsidRPr="00E77B5F">
        <w:rPr>
          <w:color w:val="auto"/>
        </w:rPr>
        <w:t>tace</w:t>
      </w:r>
      <w:r w:rsidRPr="00E77B5F">
        <w:rPr>
          <w:color w:val="auto"/>
        </w:rPr>
        <w:t xml:space="preserve"> se poskytuje v souladu </w:t>
      </w:r>
      <w:r w:rsidR="004308EB" w:rsidRPr="00E77B5F">
        <w:rPr>
          <w:color w:val="auto"/>
        </w:rPr>
        <w:t>s usnesením vlády České republiky ze dne 25.</w:t>
      </w:r>
      <w:r w:rsidR="00922C08" w:rsidRPr="00E77B5F">
        <w:rPr>
          <w:color w:val="auto"/>
        </w:rPr>
        <w:t> </w:t>
      </w:r>
      <w:r w:rsidR="004308EB" w:rsidRPr="00E77B5F">
        <w:rPr>
          <w:color w:val="auto"/>
        </w:rPr>
        <w:t>března 1992 č. 209 k Programu regenerace městských památkových rezervací a</w:t>
      </w:r>
      <w:r w:rsidR="00922C08" w:rsidRPr="00E77B5F">
        <w:rPr>
          <w:color w:val="auto"/>
        </w:rPr>
        <w:t> </w:t>
      </w:r>
      <w:r w:rsidR="004308EB" w:rsidRPr="00E77B5F">
        <w:rPr>
          <w:color w:val="auto"/>
        </w:rPr>
        <w:t>městských památkových zón, úplným zněním Zásad Ministerstva kultury České republiky pro užití a</w:t>
      </w:r>
      <w:r w:rsidR="009E3713" w:rsidRPr="00E77B5F">
        <w:rPr>
          <w:color w:val="auto"/>
        </w:rPr>
        <w:t> </w:t>
      </w:r>
      <w:r w:rsidR="004308EB" w:rsidRPr="00E77B5F">
        <w:rPr>
          <w:color w:val="auto"/>
        </w:rPr>
        <w:t>alokaci státní finanční podpory v Programu regenerace městských památkových rezervací a</w:t>
      </w:r>
      <w:r w:rsidR="00E77B5F">
        <w:rPr>
          <w:color w:val="auto"/>
        </w:rPr>
        <w:t> </w:t>
      </w:r>
      <w:r w:rsidR="004308EB" w:rsidRPr="00E77B5F">
        <w:rPr>
          <w:color w:val="auto"/>
        </w:rPr>
        <w:t xml:space="preserve">městských památkových zón </w:t>
      </w:r>
      <w:r w:rsidR="00922C08" w:rsidRPr="00E77B5F">
        <w:rPr>
          <w:color w:val="auto"/>
        </w:rPr>
        <w:t>č. j. MK 40416/2025 OPP ze dne 7. 5. 2025, s účinností od 20.</w:t>
      </w:r>
      <w:r w:rsidR="00E77B5F">
        <w:rPr>
          <w:color w:val="auto"/>
        </w:rPr>
        <w:t> </w:t>
      </w:r>
      <w:r w:rsidR="00922C08" w:rsidRPr="00E77B5F">
        <w:rPr>
          <w:color w:val="auto"/>
        </w:rPr>
        <w:t>12. 2025</w:t>
      </w:r>
      <w:r w:rsidR="00730976" w:rsidRPr="00E77B5F">
        <w:rPr>
          <w:color w:val="auto"/>
        </w:rPr>
        <w:t>,</w:t>
      </w:r>
      <w:r w:rsidR="00730976" w:rsidRPr="00E77B5F">
        <w:rPr>
          <w:b/>
          <w:color w:val="auto"/>
        </w:rPr>
        <w:t xml:space="preserve"> </w:t>
      </w:r>
      <w:r w:rsidR="00457568" w:rsidRPr="00922C08">
        <w:t>po</w:t>
      </w:r>
      <w:r w:rsidRPr="00922C08">
        <w:rPr>
          <w:color w:val="auto"/>
        </w:rPr>
        <w:t>dle zákona č. 218/2000 Sb., o rozpočtových pravidlech</w:t>
      </w:r>
      <w:r w:rsidR="000002FB" w:rsidRPr="00922C08">
        <w:rPr>
          <w:color w:val="auto"/>
        </w:rPr>
        <w:t xml:space="preserve">  </w:t>
      </w:r>
      <w:r w:rsidRPr="00922C08">
        <w:rPr>
          <w:color w:val="auto"/>
        </w:rPr>
        <w:t>a</w:t>
      </w:r>
      <w:r w:rsidR="000002FB" w:rsidRPr="00922C08">
        <w:rPr>
          <w:color w:val="auto"/>
        </w:rPr>
        <w:t> </w:t>
      </w:r>
      <w:r w:rsidRPr="00922C08">
        <w:rPr>
          <w:color w:val="auto"/>
        </w:rPr>
        <w:t>o změně některých souvisejících zákonů (rozpočtová pravidla), v platném znění, a</w:t>
      </w:r>
      <w:r w:rsidR="000002FB" w:rsidRPr="00922C08">
        <w:rPr>
          <w:color w:val="auto"/>
        </w:rPr>
        <w:t> </w:t>
      </w:r>
      <w:r w:rsidRPr="00922C08">
        <w:rPr>
          <w:color w:val="auto"/>
        </w:rPr>
        <w:t>zákon</w:t>
      </w:r>
      <w:r w:rsidR="004308EB" w:rsidRPr="00922C08">
        <w:rPr>
          <w:color w:val="auto"/>
        </w:rPr>
        <w:t>a</w:t>
      </w:r>
      <w:r w:rsidRPr="00922C08">
        <w:rPr>
          <w:color w:val="auto"/>
        </w:rPr>
        <w:t xml:space="preserve"> č. 500/2004 Sb., správní řád, v platném znění. </w:t>
      </w:r>
      <w:r w:rsidR="00DD69E2" w:rsidRPr="00922C08">
        <w:rPr>
          <w:color w:val="auto"/>
        </w:rPr>
        <w:t>Ministerstvo kultury poskytuje finanční prostředky na pořízen</w:t>
      </w:r>
      <w:r w:rsidR="001D3CD1" w:rsidRPr="00922C08">
        <w:rPr>
          <w:color w:val="auto"/>
        </w:rPr>
        <w:t>í</w:t>
      </w:r>
      <w:r w:rsidR="00DD69E2" w:rsidRPr="00922C08">
        <w:rPr>
          <w:color w:val="auto"/>
        </w:rPr>
        <w:t xml:space="preserve"> plánů ochrany památkových rezervací a památkových zón v souladu čl.</w:t>
      </w:r>
      <w:r w:rsidR="00922C08">
        <w:rPr>
          <w:color w:val="auto"/>
        </w:rPr>
        <w:t> </w:t>
      </w:r>
      <w:r w:rsidR="00DD69E2" w:rsidRPr="00922C08">
        <w:rPr>
          <w:color w:val="auto"/>
        </w:rPr>
        <w:t>1 Úmluvy o ochraně architektonického dědictví Evropy. Památkové rezervace a památkové zóny představují významný prvek českého kulturního dědictví. Z hlediska čl. 1 Úmluvy o</w:t>
      </w:r>
      <w:r w:rsidR="00922C08">
        <w:rPr>
          <w:color w:val="auto"/>
        </w:rPr>
        <w:t> </w:t>
      </w:r>
      <w:r w:rsidR="00DD69E2" w:rsidRPr="00922C08">
        <w:rPr>
          <w:color w:val="auto"/>
        </w:rPr>
        <w:t>ochraně architektonického dědictví Evropy (publikována pod č. 73/2000 Sb. m. s.) jde o</w:t>
      </w:r>
      <w:r w:rsidR="00922C08">
        <w:rPr>
          <w:color w:val="auto"/>
        </w:rPr>
        <w:t> </w:t>
      </w:r>
      <w:r w:rsidR="00DD69E2" w:rsidRPr="00922C08">
        <w:rPr>
          <w:color w:val="auto"/>
        </w:rPr>
        <w:t>architektonické soubory coby prvky architektonického dědictví, přičemž podle čl. 7 této úmluvy je Česká republika povinna v okolí památek, uvnitř architektonických souborů a</w:t>
      </w:r>
      <w:r w:rsidR="00922C08">
        <w:rPr>
          <w:color w:val="auto"/>
        </w:rPr>
        <w:t> </w:t>
      </w:r>
      <w:r w:rsidR="00DD69E2" w:rsidRPr="00922C08">
        <w:rPr>
          <w:color w:val="auto"/>
        </w:rPr>
        <w:t>v</w:t>
      </w:r>
      <w:r w:rsidR="00922C08">
        <w:rPr>
          <w:color w:val="auto"/>
        </w:rPr>
        <w:t> </w:t>
      </w:r>
      <w:r w:rsidR="00DD69E2" w:rsidRPr="00922C08">
        <w:rPr>
          <w:color w:val="auto"/>
        </w:rPr>
        <w:t>prostoru míst prosazovat opatření k obecnému zlepšení kvality prostředí.</w:t>
      </w:r>
    </w:p>
    <w:p w:rsidR="00D01048" w:rsidRDefault="00D01048" w:rsidP="00E60615">
      <w:pPr>
        <w:spacing w:line="240" w:lineRule="auto"/>
        <w:jc w:val="both"/>
        <w:rPr>
          <w:rFonts w:cs="Times New Roman"/>
          <w:color w:val="000000"/>
          <w:sz w:val="23"/>
          <w:szCs w:val="23"/>
        </w:rPr>
      </w:pPr>
    </w:p>
    <w:p w:rsidR="00196F7D" w:rsidRPr="00086FEC" w:rsidRDefault="00196F7D" w:rsidP="00E60615">
      <w:pPr>
        <w:spacing w:line="240" w:lineRule="auto"/>
        <w:jc w:val="both"/>
        <w:rPr>
          <w:rFonts w:cs="Times New Roman"/>
          <w:color w:val="000000"/>
          <w:szCs w:val="24"/>
        </w:rPr>
      </w:pPr>
      <w:r w:rsidRPr="00086FEC">
        <w:rPr>
          <w:rFonts w:cs="Times New Roman"/>
          <w:color w:val="000000"/>
          <w:szCs w:val="24"/>
        </w:rPr>
        <w:t>D</w:t>
      </w:r>
      <w:r w:rsidR="003B2CEF">
        <w:rPr>
          <w:rFonts w:cs="Times New Roman"/>
          <w:color w:val="000000"/>
          <w:szCs w:val="24"/>
        </w:rPr>
        <w:t>otace na pořízení plánu ochrany se poskytuje v rámci rezervy Programu regenerace</w:t>
      </w:r>
      <w:r w:rsidRPr="00086FEC">
        <w:rPr>
          <w:rFonts w:cs="Times New Roman"/>
          <w:color w:val="000000"/>
          <w:szCs w:val="24"/>
        </w:rPr>
        <w:t xml:space="preserve"> (viz Zásady)</w:t>
      </w:r>
      <w:r w:rsidR="00086FEC">
        <w:rPr>
          <w:rFonts w:cs="Times New Roman"/>
          <w:color w:val="000000"/>
          <w:szCs w:val="24"/>
        </w:rPr>
        <w:t xml:space="preserve"> n</w:t>
      </w:r>
      <w:r w:rsidR="00737F03" w:rsidRPr="00086FEC">
        <w:rPr>
          <w:szCs w:val="24"/>
        </w:rPr>
        <w:t xml:space="preserve">a </w:t>
      </w:r>
      <w:r w:rsidRPr="00086FEC">
        <w:rPr>
          <w:szCs w:val="24"/>
        </w:rPr>
        <w:t>zpracování plánů ochrany pro MPR a MPZ ve městech, kde je zpracován a</w:t>
      </w:r>
      <w:r w:rsidR="00DE7AF9" w:rsidRPr="00086FEC">
        <w:rPr>
          <w:szCs w:val="24"/>
        </w:rPr>
        <w:t> </w:t>
      </w:r>
      <w:r w:rsidRPr="00086FEC">
        <w:rPr>
          <w:szCs w:val="24"/>
        </w:rPr>
        <w:t xml:space="preserve">schválen městský program regenerace podle </w:t>
      </w:r>
      <w:r w:rsidR="003B2CEF">
        <w:rPr>
          <w:szCs w:val="24"/>
        </w:rPr>
        <w:t>výše uvedeného</w:t>
      </w:r>
      <w:r w:rsidRPr="00086FEC">
        <w:rPr>
          <w:szCs w:val="24"/>
        </w:rPr>
        <w:t xml:space="preserve"> usnesení vlády, ve finančním objemu stanoveném ročním rozpisem</w:t>
      </w:r>
      <w:r w:rsidR="00086FEC">
        <w:rPr>
          <w:szCs w:val="24"/>
        </w:rPr>
        <w:t>:</w:t>
      </w:r>
    </w:p>
    <w:p w:rsidR="00196F7D" w:rsidRPr="00086FEC" w:rsidRDefault="00086FEC" w:rsidP="00E60615">
      <w:pPr>
        <w:pStyle w:val="Default"/>
        <w:numPr>
          <w:ilvl w:val="0"/>
          <w:numId w:val="9"/>
        </w:numPr>
        <w:ind w:left="357" w:hanging="357"/>
        <w:jc w:val="both"/>
        <w:rPr>
          <w:color w:val="auto"/>
        </w:rPr>
      </w:pPr>
      <w:r w:rsidRPr="00086FEC">
        <w:rPr>
          <w:color w:val="auto"/>
        </w:rPr>
        <w:t>P</w:t>
      </w:r>
      <w:r w:rsidR="00196F7D" w:rsidRPr="00086FEC">
        <w:rPr>
          <w:color w:val="auto"/>
        </w:rPr>
        <w:t>ořizovatelem plánu ochrany v rámci poskytování státní podpory v</w:t>
      </w:r>
      <w:r w:rsidR="00DE7AF9" w:rsidRPr="00086FEC">
        <w:rPr>
          <w:color w:val="auto"/>
        </w:rPr>
        <w:t> </w:t>
      </w:r>
      <w:r w:rsidR="00196F7D" w:rsidRPr="00086FEC">
        <w:rPr>
          <w:color w:val="auto"/>
        </w:rPr>
        <w:t>Programu se rozumí příslušné město s MPR nebo MPZ, příp. PR Kuks, anebo příslušný kraj</w:t>
      </w:r>
      <w:r w:rsidRPr="00086FEC">
        <w:rPr>
          <w:color w:val="auto"/>
        </w:rPr>
        <w:t>;</w:t>
      </w:r>
    </w:p>
    <w:p w:rsidR="00196F7D" w:rsidRPr="00086FEC" w:rsidRDefault="00086FEC" w:rsidP="00E60615">
      <w:pPr>
        <w:pStyle w:val="Default"/>
        <w:numPr>
          <w:ilvl w:val="0"/>
          <w:numId w:val="9"/>
        </w:numPr>
        <w:ind w:left="357" w:hanging="357"/>
        <w:jc w:val="both"/>
        <w:rPr>
          <w:color w:val="auto"/>
        </w:rPr>
      </w:pPr>
      <w:r w:rsidRPr="00086FEC">
        <w:rPr>
          <w:color w:val="auto"/>
        </w:rPr>
        <w:t>P</w:t>
      </w:r>
      <w:r w:rsidR="00196F7D" w:rsidRPr="00086FEC">
        <w:rPr>
          <w:color w:val="auto"/>
        </w:rPr>
        <w:t>lán ochrany bude zpracován podle platné právní úpravy a v souladu s</w:t>
      </w:r>
      <w:r w:rsidR="009E3713" w:rsidRPr="00086FEC">
        <w:rPr>
          <w:color w:val="auto"/>
        </w:rPr>
        <w:t> </w:t>
      </w:r>
      <w:r w:rsidR="00196F7D" w:rsidRPr="00086FEC">
        <w:rPr>
          <w:color w:val="auto"/>
        </w:rPr>
        <w:t>metodikou pro pořízení plánu ochrany</w:t>
      </w:r>
      <w:r w:rsidR="000D0FA2" w:rsidRPr="00086FEC">
        <w:rPr>
          <w:color w:val="auto"/>
        </w:rPr>
        <w:t xml:space="preserve"> (viz. </w:t>
      </w:r>
      <w:r w:rsidR="00DC1A5F" w:rsidRPr="00086FEC">
        <w:rPr>
          <w:rStyle w:val="Hypertextovodkaz"/>
          <w:rFonts w:cstheme="minorBidi"/>
        </w:rPr>
        <w:t>https://mk.gov.cz/program-regenerace-mestskych-pamatkovych-rezervaci-a-mestskych-pamatkovych-zon-cs-282</w:t>
      </w:r>
      <w:r w:rsidR="000D0FA2" w:rsidRPr="00086FEC">
        <w:rPr>
          <w:color w:val="auto"/>
        </w:rPr>
        <w:t>)</w:t>
      </w:r>
      <w:r w:rsidRPr="00086FEC">
        <w:rPr>
          <w:color w:val="auto"/>
        </w:rPr>
        <w:t>;</w:t>
      </w:r>
    </w:p>
    <w:p w:rsidR="00196F7D" w:rsidRPr="00086FEC" w:rsidRDefault="00086FEC" w:rsidP="00E60615">
      <w:pPr>
        <w:pStyle w:val="Default"/>
        <w:numPr>
          <w:ilvl w:val="0"/>
          <w:numId w:val="9"/>
        </w:numPr>
        <w:ind w:left="357" w:hanging="357"/>
        <w:jc w:val="both"/>
        <w:rPr>
          <w:color w:val="auto"/>
        </w:rPr>
      </w:pPr>
      <w:r w:rsidRPr="00086FEC">
        <w:rPr>
          <w:color w:val="auto"/>
        </w:rPr>
        <w:lastRenderedPageBreak/>
        <w:t>Z</w:t>
      </w:r>
      <w:r w:rsidR="00196F7D" w:rsidRPr="00086FEC">
        <w:rPr>
          <w:color w:val="auto"/>
        </w:rPr>
        <w:t>ávazný finanční podíl pořizovatele z celkových uznatelných nákladů prokazatelně vynaložených na pořízení plánu ochrany v příslušném kalendářním roce se stanoví ve výši min. 30 %</w:t>
      </w:r>
      <w:r w:rsidRPr="00086FEC">
        <w:rPr>
          <w:color w:val="auto"/>
        </w:rPr>
        <w:t>;</w:t>
      </w:r>
    </w:p>
    <w:p w:rsidR="00196F7D" w:rsidRPr="00086FEC" w:rsidRDefault="00086FEC" w:rsidP="00E60615">
      <w:pPr>
        <w:pStyle w:val="Default"/>
        <w:numPr>
          <w:ilvl w:val="0"/>
          <w:numId w:val="9"/>
        </w:numPr>
        <w:ind w:left="357" w:hanging="357"/>
        <w:jc w:val="both"/>
        <w:rPr>
          <w:color w:val="auto"/>
        </w:rPr>
      </w:pPr>
      <w:r w:rsidRPr="00086FEC">
        <w:rPr>
          <w:color w:val="auto"/>
        </w:rPr>
        <w:t>P</w:t>
      </w:r>
      <w:r w:rsidR="00196F7D" w:rsidRPr="00086FEC">
        <w:rPr>
          <w:color w:val="auto"/>
        </w:rPr>
        <w:t>ořizovatel zakotví do smlouvy se zpracovatelem plánu ochrany povinnost řádně identifikovat, zdokumentovat a respektovat památkové hodnoty řešeného území, vycházet z podkladů a informací poskytnutých Národním památkovým ústavem a umožnit dotčeným orgánům uplatnit připomínky k</w:t>
      </w:r>
      <w:r w:rsidR="009E3713" w:rsidRPr="00086FEC">
        <w:rPr>
          <w:color w:val="auto"/>
        </w:rPr>
        <w:t> </w:t>
      </w:r>
      <w:r w:rsidR="00196F7D" w:rsidRPr="00086FEC">
        <w:rPr>
          <w:color w:val="auto"/>
        </w:rPr>
        <w:t>návrhu plánu ochrany ještě v průběhu zpracování.</w:t>
      </w:r>
    </w:p>
    <w:p w:rsidR="00D01048" w:rsidRPr="00E60615" w:rsidRDefault="00D01048" w:rsidP="00E60615">
      <w:pPr>
        <w:pStyle w:val="Default"/>
        <w:jc w:val="both"/>
        <w:rPr>
          <w:b/>
          <w:sz w:val="16"/>
          <w:szCs w:val="16"/>
        </w:rPr>
      </w:pPr>
    </w:p>
    <w:p w:rsidR="00D01048" w:rsidRPr="00CC0E54" w:rsidRDefault="00D01048" w:rsidP="00E60615">
      <w:pPr>
        <w:spacing w:line="240" w:lineRule="auto"/>
        <w:jc w:val="both"/>
        <w:rPr>
          <w:szCs w:val="24"/>
        </w:rPr>
      </w:pPr>
      <w:r w:rsidRPr="00CC0E54">
        <w:rPr>
          <w:szCs w:val="24"/>
        </w:rPr>
        <w:t>Ministerstvo kultury v Programu regenerace MPR a MPZ:</w:t>
      </w:r>
    </w:p>
    <w:p w:rsidR="00D01048" w:rsidRPr="00861810" w:rsidRDefault="00086FEC" w:rsidP="00E60615">
      <w:pPr>
        <w:pStyle w:val="Odstavecseseznamem"/>
        <w:numPr>
          <w:ilvl w:val="0"/>
          <w:numId w:val="8"/>
        </w:numPr>
        <w:tabs>
          <w:tab w:val="left" w:pos="1276"/>
        </w:tabs>
        <w:overflowPunct w:val="0"/>
        <w:autoSpaceDE w:val="0"/>
        <w:autoSpaceDN w:val="0"/>
        <w:adjustRightInd w:val="0"/>
        <w:spacing w:line="240" w:lineRule="auto"/>
        <w:ind w:left="357" w:hanging="357"/>
        <w:contextualSpacing w:val="0"/>
        <w:jc w:val="both"/>
        <w:rPr>
          <w:szCs w:val="28"/>
        </w:rPr>
      </w:pPr>
      <w:r>
        <w:rPr>
          <w:szCs w:val="28"/>
        </w:rPr>
        <w:t>P</w:t>
      </w:r>
      <w:r w:rsidR="00D01048" w:rsidRPr="00861810">
        <w:rPr>
          <w:szCs w:val="28"/>
        </w:rPr>
        <w:t xml:space="preserve">řipouští odstranění vad žádosti; </w:t>
      </w:r>
    </w:p>
    <w:p w:rsidR="00D01048" w:rsidRPr="00861810" w:rsidRDefault="00086FEC" w:rsidP="00E60615">
      <w:pPr>
        <w:pStyle w:val="Odstavecseseznamem"/>
        <w:numPr>
          <w:ilvl w:val="0"/>
          <w:numId w:val="8"/>
        </w:numPr>
        <w:tabs>
          <w:tab w:val="left" w:pos="1276"/>
        </w:tabs>
        <w:overflowPunct w:val="0"/>
        <w:autoSpaceDE w:val="0"/>
        <w:autoSpaceDN w:val="0"/>
        <w:adjustRightInd w:val="0"/>
        <w:spacing w:line="240" w:lineRule="auto"/>
        <w:ind w:left="357" w:hanging="357"/>
        <w:contextualSpacing w:val="0"/>
        <w:jc w:val="both"/>
        <w:rPr>
          <w:szCs w:val="28"/>
        </w:rPr>
      </w:pPr>
      <w:r>
        <w:rPr>
          <w:szCs w:val="28"/>
        </w:rPr>
        <w:t>M</w:t>
      </w:r>
      <w:r w:rsidR="00D01048" w:rsidRPr="00861810">
        <w:rPr>
          <w:szCs w:val="28"/>
        </w:rPr>
        <w:t>ůže vyzvat žadatele k doložení dalších podkladů nebo údajů nezbytných pro rozhodnutí o</w:t>
      </w:r>
      <w:r w:rsidR="008C44D3">
        <w:rPr>
          <w:szCs w:val="28"/>
        </w:rPr>
        <w:t> </w:t>
      </w:r>
      <w:r w:rsidR="00D01048" w:rsidRPr="00861810">
        <w:rPr>
          <w:szCs w:val="28"/>
        </w:rPr>
        <w:t xml:space="preserve">žádosti; </w:t>
      </w:r>
    </w:p>
    <w:p w:rsidR="00D01048" w:rsidRPr="00167B5F" w:rsidRDefault="00086FEC" w:rsidP="00E60615">
      <w:pPr>
        <w:pStyle w:val="Odstavecseseznamem"/>
        <w:numPr>
          <w:ilvl w:val="0"/>
          <w:numId w:val="8"/>
        </w:numPr>
        <w:tabs>
          <w:tab w:val="left" w:pos="1276"/>
        </w:tabs>
        <w:overflowPunct w:val="0"/>
        <w:autoSpaceDE w:val="0"/>
        <w:autoSpaceDN w:val="0"/>
        <w:adjustRightInd w:val="0"/>
        <w:spacing w:line="240" w:lineRule="auto"/>
        <w:ind w:left="357" w:hanging="357"/>
        <w:contextualSpacing w:val="0"/>
        <w:jc w:val="both"/>
        <w:rPr>
          <w:szCs w:val="28"/>
        </w:rPr>
      </w:pPr>
      <w:r>
        <w:rPr>
          <w:szCs w:val="28"/>
        </w:rPr>
        <w:t>M</w:t>
      </w:r>
      <w:r w:rsidR="00D01048" w:rsidRPr="00861810">
        <w:rPr>
          <w:szCs w:val="28"/>
        </w:rPr>
        <w:t>ůže žadateli doporučit úpravu v žádosti</w:t>
      </w:r>
      <w:r w:rsidR="00D01048" w:rsidRPr="00167B5F">
        <w:rPr>
          <w:szCs w:val="28"/>
        </w:rPr>
        <w:t>.</w:t>
      </w:r>
    </w:p>
    <w:p w:rsidR="00D01048" w:rsidRPr="00E60615" w:rsidRDefault="00D01048" w:rsidP="00E60615">
      <w:pPr>
        <w:pStyle w:val="Default"/>
        <w:jc w:val="both"/>
        <w:rPr>
          <w:b/>
          <w:sz w:val="16"/>
          <w:szCs w:val="16"/>
        </w:rPr>
      </w:pPr>
    </w:p>
    <w:p w:rsidR="00D01048" w:rsidRPr="00D01048" w:rsidRDefault="00D01048" w:rsidP="00E60615">
      <w:pPr>
        <w:pStyle w:val="Default"/>
        <w:spacing w:after="80"/>
        <w:jc w:val="both"/>
      </w:pPr>
      <w:r w:rsidRPr="00DE7AF9">
        <w:t xml:space="preserve">Proti rozhodnutí o poskytnutí </w:t>
      </w:r>
      <w:r w:rsidRPr="007A14F8">
        <w:t>dotace</w:t>
      </w:r>
      <w:r w:rsidRPr="00DE7AF9">
        <w:t xml:space="preserve"> není podle § </w:t>
      </w:r>
      <w:proofErr w:type="gramStart"/>
      <w:r w:rsidRPr="00DE7AF9">
        <w:t>14q</w:t>
      </w:r>
      <w:proofErr w:type="gramEnd"/>
      <w:r w:rsidRPr="00DE7AF9">
        <w:t xml:space="preserve"> odst. 2 zákona č. 218/2000 Sb.,                                o rozpočtových pravidlech a změně některých souvisejících zákonů (rozpočtová pravidla), v platném znění, přípustný řádný opravný prostředek. Toto rozhodnutí nabývá právní moci dnem doručení jeho písemného vyhotovení příjemci.</w:t>
      </w:r>
    </w:p>
    <w:p w:rsidR="00832517" w:rsidRPr="00D01048" w:rsidRDefault="00D01048" w:rsidP="00E60615">
      <w:pPr>
        <w:pStyle w:val="Default"/>
        <w:spacing w:after="80"/>
        <w:jc w:val="both"/>
        <w:rPr>
          <w:b/>
          <w:bCs/>
          <w:color w:val="auto"/>
        </w:rPr>
      </w:pPr>
      <w:r w:rsidRPr="00DE7AF9">
        <w:rPr>
          <w:rFonts w:eastAsia="Times New Roman"/>
          <w:color w:val="auto"/>
          <w:lang w:eastAsia="cs-CZ"/>
        </w:rPr>
        <w:t xml:space="preserve">Dotace je proplacena bezhotovostním převodem z rozpočtového výdajového účtu Ministerstva kultury u České národní banky na účet příjemce do 40 dní po nabytí právní moci rozhodnutí </w:t>
      </w:r>
      <w:r w:rsidRPr="00DE7AF9">
        <w:t>o poskytnutí</w:t>
      </w:r>
      <w:r w:rsidRPr="00DE7AF9">
        <w:rPr>
          <w:rFonts w:eastAsia="Times New Roman"/>
          <w:color w:val="auto"/>
          <w:lang w:eastAsia="cs-CZ"/>
        </w:rPr>
        <w:t xml:space="preserve"> dotace.</w:t>
      </w:r>
    </w:p>
    <w:bookmarkEnd w:id="9"/>
    <w:p w:rsidR="00D01048" w:rsidRPr="008C44D3" w:rsidRDefault="00D01048" w:rsidP="00E60615">
      <w:pPr>
        <w:spacing w:after="80" w:line="240" w:lineRule="auto"/>
        <w:jc w:val="both"/>
        <w:rPr>
          <w:rFonts w:cs="Times New Roman"/>
          <w:szCs w:val="24"/>
        </w:rPr>
      </w:pPr>
      <w:r w:rsidRPr="00D01048">
        <w:rPr>
          <w:rFonts w:eastAsia="Calibri"/>
          <w:szCs w:val="24"/>
          <w:lang w:eastAsia="cs-CZ"/>
        </w:rPr>
        <w:t>Ministerstvo kultury</w:t>
      </w:r>
      <w:r w:rsidRPr="00D01048">
        <w:rPr>
          <w:rFonts w:cs="Times New Roman"/>
          <w:szCs w:val="24"/>
        </w:rPr>
        <w:t xml:space="preserve"> si vyhrazuje právo změnit způsob proplácení dotace, a to v souladu s případnými změnami nařízenými Ministerstvem financí. Vyplácení příspěvků, dotací se uskutečňuje v souladu s případnými regulačními opatřeními Ministerstva financí.</w:t>
      </w:r>
    </w:p>
    <w:p w:rsidR="00DE49A4" w:rsidRDefault="00DE49A4" w:rsidP="00E6061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D01048" w:rsidRPr="00D01048" w:rsidRDefault="00D01048" w:rsidP="00E60615">
      <w:pPr>
        <w:pStyle w:val="Odstavecseseznamem"/>
        <w:spacing w:line="240" w:lineRule="auto"/>
        <w:ind w:left="3622" w:firstLine="632"/>
        <w:rPr>
          <w:sz w:val="28"/>
          <w:szCs w:val="28"/>
        </w:rPr>
      </w:pPr>
      <w:bookmarkStart w:id="10" w:name="_Hlk151531330"/>
      <w:r w:rsidRPr="00D01048">
        <w:rPr>
          <w:sz w:val="28"/>
          <w:szCs w:val="28"/>
        </w:rPr>
        <w:t>Část VIII.</w:t>
      </w:r>
    </w:p>
    <w:p w:rsidR="00D01048" w:rsidRDefault="00D01048" w:rsidP="00E60615">
      <w:pPr>
        <w:pStyle w:val="Default"/>
        <w:ind w:left="2204" w:firstLine="632"/>
        <w:rPr>
          <w:sz w:val="28"/>
          <w:szCs w:val="28"/>
        </w:rPr>
      </w:pPr>
      <w:r>
        <w:rPr>
          <w:sz w:val="28"/>
          <w:szCs w:val="28"/>
        </w:rPr>
        <w:t>Povinnosti příjemce příspěvku/dotace</w:t>
      </w:r>
    </w:p>
    <w:p w:rsidR="00D01048" w:rsidRPr="00D01048" w:rsidRDefault="00D01048" w:rsidP="00E60615">
      <w:pPr>
        <w:pStyle w:val="Default"/>
        <w:ind w:left="2204" w:firstLine="632"/>
        <w:rPr>
          <w:b/>
          <w:bCs/>
          <w:color w:val="auto"/>
          <w:sz w:val="16"/>
          <w:szCs w:val="16"/>
        </w:rPr>
      </w:pPr>
    </w:p>
    <w:p w:rsidR="007B7F75" w:rsidRPr="00DE7AF9" w:rsidRDefault="007B7F75" w:rsidP="00E60615">
      <w:pPr>
        <w:pStyle w:val="Default"/>
        <w:numPr>
          <w:ilvl w:val="0"/>
          <w:numId w:val="7"/>
        </w:numPr>
        <w:ind w:left="357" w:hanging="357"/>
        <w:jc w:val="both"/>
        <w:rPr>
          <w:rFonts w:cstheme="minorBidi"/>
          <w:bCs/>
          <w:color w:val="auto"/>
        </w:rPr>
      </w:pPr>
      <w:r w:rsidRPr="00DE7AF9">
        <w:rPr>
          <w:rFonts w:cstheme="minorBidi"/>
          <w:bCs/>
          <w:color w:val="auto"/>
        </w:rPr>
        <w:t xml:space="preserve">Povinností je používat </w:t>
      </w:r>
      <w:r w:rsidR="00364D16" w:rsidRPr="00DE7AF9">
        <w:rPr>
          <w:rFonts w:cstheme="minorBidi"/>
          <w:bCs/>
          <w:color w:val="auto"/>
        </w:rPr>
        <w:t>dotaci</w:t>
      </w:r>
      <w:r w:rsidRPr="00DE7AF9">
        <w:rPr>
          <w:rFonts w:cstheme="minorBidi"/>
          <w:bCs/>
          <w:color w:val="auto"/>
        </w:rPr>
        <w:t xml:space="preserve"> hospodárně, účelně, efektivně a v souladu s právními předpisy. </w:t>
      </w:r>
    </w:p>
    <w:p w:rsidR="007B7F75" w:rsidRPr="00DE7AF9" w:rsidRDefault="007B7F75" w:rsidP="00E60615">
      <w:pPr>
        <w:pStyle w:val="Default"/>
        <w:numPr>
          <w:ilvl w:val="0"/>
          <w:numId w:val="7"/>
        </w:numPr>
        <w:ind w:left="357" w:hanging="357"/>
        <w:jc w:val="both"/>
        <w:rPr>
          <w:rFonts w:cstheme="minorBidi"/>
          <w:bCs/>
          <w:color w:val="auto"/>
        </w:rPr>
      </w:pPr>
      <w:r w:rsidRPr="00DE7AF9">
        <w:rPr>
          <w:rFonts w:cstheme="minorBidi"/>
          <w:bCs/>
          <w:color w:val="auto"/>
        </w:rPr>
        <w:t>Proplácení finančních prostředků zhotoviteli díla bude prováděno prostřednictvím peněžního ústavu (bezhotovostně).</w:t>
      </w:r>
      <w:r w:rsidRPr="00DE7AF9">
        <w:rPr>
          <w:rFonts w:cstheme="minorBidi"/>
          <w:bCs/>
          <w:color w:val="FF0000"/>
        </w:rPr>
        <w:t xml:space="preserve"> </w:t>
      </w:r>
      <w:r w:rsidRPr="00DE7AF9">
        <w:rPr>
          <w:rFonts w:cstheme="minorBidi"/>
          <w:bCs/>
          <w:color w:val="auto"/>
        </w:rPr>
        <w:t xml:space="preserve">Faktury, jejichž předmětem jsou práce na </w:t>
      </w:r>
      <w:r w:rsidR="00364D16" w:rsidRPr="00DE7AF9">
        <w:rPr>
          <w:rFonts w:cstheme="minorBidi"/>
          <w:bCs/>
          <w:color w:val="auto"/>
        </w:rPr>
        <w:t>pořízení plánu ochrany</w:t>
      </w:r>
      <w:r w:rsidRPr="00DE7AF9">
        <w:rPr>
          <w:rFonts w:cstheme="minorBidi"/>
          <w:bCs/>
          <w:color w:val="auto"/>
        </w:rPr>
        <w:t>, budou vystaveny a jejich platby poukázány v roce 202</w:t>
      </w:r>
      <w:r w:rsidR="00FF3C7A">
        <w:rPr>
          <w:rFonts w:cstheme="minorBidi"/>
          <w:bCs/>
          <w:color w:val="auto"/>
        </w:rPr>
        <w:t>6</w:t>
      </w:r>
      <w:r w:rsidRPr="00DE7AF9">
        <w:rPr>
          <w:rFonts w:cstheme="minorBidi"/>
          <w:bCs/>
          <w:color w:val="auto"/>
        </w:rPr>
        <w:t>, z účtu příjemce</w:t>
      </w:r>
      <w:r w:rsidR="00E36CD3" w:rsidRPr="00DE7AF9">
        <w:rPr>
          <w:rFonts w:cstheme="minorBidi"/>
          <w:bCs/>
          <w:color w:val="auto"/>
        </w:rPr>
        <w:t xml:space="preserve"> </w:t>
      </w:r>
      <w:r w:rsidR="00364D16" w:rsidRPr="00DE7AF9">
        <w:rPr>
          <w:rFonts w:cstheme="minorBidi"/>
          <w:bCs/>
          <w:color w:val="auto"/>
        </w:rPr>
        <w:t>dotace</w:t>
      </w:r>
      <w:r w:rsidRPr="00DE7AF9">
        <w:rPr>
          <w:rFonts w:cstheme="minorBidi"/>
          <w:bCs/>
          <w:color w:val="auto"/>
        </w:rPr>
        <w:t xml:space="preserve">. Příjemce </w:t>
      </w:r>
      <w:r w:rsidR="00364D16" w:rsidRPr="00DE7AF9">
        <w:rPr>
          <w:rFonts w:cstheme="minorBidi"/>
          <w:bCs/>
          <w:color w:val="auto"/>
        </w:rPr>
        <w:t>dotace</w:t>
      </w:r>
      <w:r w:rsidR="00E36CD3" w:rsidRPr="00DE7AF9">
        <w:rPr>
          <w:rFonts w:cstheme="minorBidi"/>
          <w:bCs/>
          <w:color w:val="auto"/>
        </w:rPr>
        <w:t xml:space="preserve"> </w:t>
      </w:r>
      <w:r w:rsidRPr="00DE7AF9">
        <w:rPr>
          <w:rFonts w:cstheme="minorBidi"/>
          <w:bCs/>
          <w:color w:val="auto"/>
        </w:rPr>
        <w:t xml:space="preserve">nesmí převádět </w:t>
      </w:r>
      <w:r w:rsidR="00364D16" w:rsidRPr="00DE7AF9">
        <w:rPr>
          <w:rFonts w:cstheme="minorBidi"/>
          <w:bCs/>
          <w:color w:val="auto"/>
        </w:rPr>
        <w:t>dotaci</w:t>
      </w:r>
      <w:r w:rsidRPr="00DE7AF9">
        <w:rPr>
          <w:rFonts w:cstheme="minorBidi"/>
          <w:bCs/>
          <w:color w:val="auto"/>
        </w:rPr>
        <w:t xml:space="preserve"> na jiné osoby, pokud se nejedná o</w:t>
      </w:r>
      <w:r w:rsidR="009E3713" w:rsidRPr="00DE7AF9">
        <w:rPr>
          <w:rFonts w:cstheme="minorBidi"/>
          <w:bCs/>
          <w:color w:val="auto"/>
        </w:rPr>
        <w:t> </w:t>
      </w:r>
      <w:r w:rsidRPr="00DE7AF9">
        <w:rPr>
          <w:rFonts w:cstheme="minorBidi"/>
          <w:bCs/>
          <w:color w:val="auto"/>
        </w:rPr>
        <w:t>přímou úhradu nákladů spojených s</w:t>
      </w:r>
      <w:r w:rsidR="008234F9" w:rsidRPr="00DE7AF9">
        <w:rPr>
          <w:rFonts w:cstheme="minorBidi"/>
          <w:bCs/>
          <w:color w:val="auto"/>
        </w:rPr>
        <w:t> </w:t>
      </w:r>
      <w:r w:rsidRPr="00DE7AF9">
        <w:rPr>
          <w:rFonts w:cstheme="minorBidi"/>
          <w:bCs/>
          <w:color w:val="auto"/>
        </w:rPr>
        <w:t xml:space="preserve">realizací </w:t>
      </w:r>
      <w:r w:rsidR="00364D16" w:rsidRPr="00DE7AF9">
        <w:rPr>
          <w:rFonts w:cstheme="minorBidi"/>
          <w:bCs/>
          <w:color w:val="auto"/>
        </w:rPr>
        <w:t>plánu ochrany</w:t>
      </w:r>
      <w:r w:rsidRPr="00DE7AF9">
        <w:rPr>
          <w:rFonts w:cstheme="minorBidi"/>
          <w:bCs/>
          <w:color w:val="auto"/>
        </w:rPr>
        <w:t xml:space="preserve">. </w:t>
      </w:r>
    </w:p>
    <w:p w:rsidR="00E36CD3" w:rsidRPr="00DE7AF9" w:rsidRDefault="00364D16" w:rsidP="00E60615">
      <w:pPr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bCs/>
          <w:szCs w:val="24"/>
        </w:rPr>
      </w:pPr>
      <w:r w:rsidRPr="00DE7AF9">
        <w:rPr>
          <w:bCs/>
          <w:szCs w:val="24"/>
        </w:rPr>
        <w:t>Dotace</w:t>
      </w:r>
      <w:r w:rsidR="00E36CD3" w:rsidRPr="00DE7AF9">
        <w:rPr>
          <w:bCs/>
          <w:szCs w:val="24"/>
        </w:rPr>
        <w:t xml:space="preserve"> může být poskytnut</w:t>
      </w:r>
      <w:r w:rsidRPr="00DE7AF9">
        <w:rPr>
          <w:bCs/>
          <w:szCs w:val="24"/>
        </w:rPr>
        <w:t>a</w:t>
      </w:r>
      <w:r w:rsidR="00E36CD3" w:rsidRPr="00DE7AF9">
        <w:rPr>
          <w:bCs/>
          <w:szCs w:val="24"/>
        </w:rPr>
        <w:t xml:space="preserve"> pouze na úhradu prací prováděných od 1. 1. 202</w:t>
      </w:r>
      <w:r w:rsidR="00FF3C7A">
        <w:rPr>
          <w:bCs/>
          <w:szCs w:val="24"/>
        </w:rPr>
        <w:t>6</w:t>
      </w:r>
      <w:r w:rsidR="00E36CD3" w:rsidRPr="00DE7AF9">
        <w:rPr>
          <w:bCs/>
          <w:szCs w:val="24"/>
        </w:rPr>
        <w:t xml:space="preserve"> do 31.</w:t>
      </w:r>
      <w:r w:rsidR="008234F9" w:rsidRPr="00DE7AF9">
        <w:rPr>
          <w:bCs/>
          <w:szCs w:val="24"/>
        </w:rPr>
        <w:t> </w:t>
      </w:r>
      <w:r w:rsidR="00E36CD3" w:rsidRPr="00DE7AF9">
        <w:rPr>
          <w:bCs/>
          <w:szCs w:val="24"/>
        </w:rPr>
        <w:t>12. 202</w:t>
      </w:r>
      <w:r w:rsidR="00FF3C7A">
        <w:rPr>
          <w:bCs/>
          <w:szCs w:val="24"/>
        </w:rPr>
        <w:t>6</w:t>
      </w:r>
      <w:r w:rsidR="00E36CD3" w:rsidRPr="00DE7AF9">
        <w:rPr>
          <w:bCs/>
          <w:szCs w:val="24"/>
        </w:rPr>
        <w:t xml:space="preserve">, přičemž poukázání </w:t>
      </w:r>
      <w:r w:rsidRPr="00DE7AF9">
        <w:rPr>
          <w:bCs/>
          <w:szCs w:val="24"/>
        </w:rPr>
        <w:t>dotace</w:t>
      </w:r>
      <w:r w:rsidR="00E36CD3" w:rsidRPr="00DE7AF9">
        <w:rPr>
          <w:bCs/>
          <w:szCs w:val="24"/>
        </w:rPr>
        <w:t xml:space="preserve"> musí být provedeno v roce 202</w:t>
      </w:r>
      <w:r w:rsidR="00D01048">
        <w:rPr>
          <w:bCs/>
          <w:szCs w:val="24"/>
        </w:rPr>
        <w:t>6</w:t>
      </w:r>
      <w:r w:rsidR="00E36CD3" w:rsidRPr="00DE7AF9">
        <w:rPr>
          <w:bCs/>
          <w:szCs w:val="24"/>
        </w:rPr>
        <w:t>.</w:t>
      </w:r>
    </w:p>
    <w:p w:rsidR="00E36CD3" w:rsidRPr="00DE7AF9" w:rsidRDefault="00364D16" w:rsidP="00E60615">
      <w:pPr>
        <w:pStyle w:val="Default"/>
        <w:numPr>
          <w:ilvl w:val="0"/>
          <w:numId w:val="7"/>
        </w:numPr>
        <w:ind w:left="357" w:hanging="357"/>
        <w:jc w:val="both"/>
        <w:rPr>
          <w:rFonts w:cstheme="minorBidi"/>
          <w:bCs/>
          <w:color w:val="auto"/>
        </w:rPr>
      </w:pPr>
      <w:r w:rsidRPr="00DE7AF9">
        <w:rPr>
          <w:bCs/>
        </w:rPr>
        <w:t>Dotace</w:t>
      </w:r>
      <w:r w:rsidR="00E36CD3" w:rsidRPr="00DE7AF9">
        <w:rPr>
          <w:rFonts w:cstheme="minorBidi"/>
          <w:bCs/>
          <w:color w:val="auto"/>
        </w:rPr>
        <w:t xml:space="preserve"> může tvořit </w:t>
      </w:r>
      <w:r w:rsidRPr="00DE7AF9">
        <w:rPr>
          <w:rFonts w:cstheme="minorBidi"/>
          <w:bCs/>
          <w:color w:val="auto"/>
        </w:rPr>
        <w:t>max.</w:t>
      </w:r>
      <w:r w:rsidR="00E36CD3" w:rsidRPr="00DE7AF9">
        <w:rPr>
          <w:rFonts w:cstheme="minorBidi"/>
          <w:bCs/>
          <w:color w:val="auto"/>
        </w:rPr>
        <w:t xml:space="preserve"> </w:t>
      </w:r>
      <w:proofErr w:type="gramStart"/>
      <w:r w:rsidRPr="00DE7AF9">
        <w:rPr>
          <w:rFonts w:cstheme="minorBidi"/>
          <w:b/>
          <w:bCs/>
          <w:color w:val="auto"/>
        </w:rPr>
        <w:t>7</w:t>
      </w:r>
      <w:r w:rsidR="00E36CD3" w:rsidRPr="00DE7AF9">
        <w:rPr>
          <w:rFonts w:cstheme="minorBidi"/>
          <w:b/>
          <w:bCs/>
          <w:color w:val="auto"/>
        </w:rPr>
        <w:t>0%</w:t>
      </w:r>
      <w:proofErr w:type="gramEnd"/>
      <w:r w:rsidR="00E36CD3" w:rsidRPr="00DE7AF9">
        <w:rPr>
          <w:rFonts w:cstheme="minorBidi"/>
          <w:bCs/>
          <w:color w:val="auto"/>
        </w:rPr>
        <w:t xml:space="preserve"> z uznatelných nákladů prací prokazatelně vynaložených na </w:t>
      </w:r>
      <w:r w:rsidRPr="00DE7AF9">
        <w:rPr>
          <w:rFonts w:cstheme="minorBidi"/>
          <w:bCs/>
          <w:color w:val="auto"/>
        </w:rPr>
        <w:t>pořízení plánu ochrany v příslušném roce</w:t>
      </w:r>
      <w:r w:rsidR="00E36CD3" w:rsidRPr="00DE7AF9">
        <w:rPr>
          <w:rFonts w:cstheme="minorBidi"/>
          <w:bCs/>
          <w:color w:val="auto"/>
        </w:rPr>
        <w:t>.</w:t>
      </w:r>
    </w:p>
    <w:p w:rsidR="00E36CD3" w:rsidRPr="00DE7AF9" w:rsidRDefault="00E36CD3" w:rsidP="00E60615">
      <w:pPr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bCs/>
          <w:szCs w:val="24"/>
        </w:rPr>
      </w:pPr>
      <w:r w:rsidRPr="00DE7AF9">
        <w:rPr>
          <w:bCs/>
          <w:szCs w:val="24"/>
        </w:rPr>
        <w:t>V případě, že je příjemce plátce DPH, náklady se uvádějí bez DPH. </w:t>
      </w:r>
    </w:p>
    <w:p w:rsidR="007B7F75" w:rsidRPr="00DE7AF9" w:rsidRDefault="007B7F75" w:rsidP="00E60615">
      <w:pPr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szCs w:val="24"/>
        </w:rPr>
      </w:pPr>
      <w:r w:rsidRPr="00DE7AF9">
        <w:rPr>
          <w:szCs w:val="24"/>
        </w:rPr>
        <w:t xml:space="preserve">Pokud jsou práce na </w:t>
      </w:r>
      <w:r w:rsidR="00364D16" w:rsidRPr="00DE7AF9">
        <w:rPr>
          <w:szCs w:val="24"/>
        </w:rPr>
        <w:t>pořízení plánu ochrany</w:t>
      </w:r>
      <w:r w:rsidRPr="00DE7AF9">
        <w:rPr>
          <w:szCs w:val="24"/>
        </w:rPr>
        <w:t xml:space="preserve"> financovány z více zdrojů, obecních a</w:t>
      </w:r>
      <w:r w:rsidR="008234F9" w:rsidRPr="00DE7AF9">
        <w:rPr>
          <w:szCs w:val="24"/>
        </w:rPr>
        <w:t> </w:t>
      </w:r>
      <w:r w:rsidRPr="00DE7AF9">
        <w:rPr>
          <w:szCs w:val="24"/>
        </w:rPr>
        <w:t>krajských rozpočtů, z prostředků evropských fondů a z dalších zdrojů, duplicitní úhrada stejného nákladu z různých zdrojů není povolena.</w:t>
      </w:r>
    </w:p>
    <w:p w:rsidR="007B7F75" w:rsidRPr="00DE7AF9" w:rsidRDefault="007B7F75" w:rsidP="00E60615">
      <w:pPr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bCs/>
          <w:szCs w:val="24"/>
        </w:rPr>
      </w:pPr>
      <w:bookmarkStart w:id="11" w:name="_Hlk135208665"/>
      <w:r w:rsidRPr="00DE7AF9">
        <w:rPr>
          <w:bCs/>
          <w:szCs w:val="24"/>
        </w:rPr>
        <w:t xml:space="preserve">Příjemce </w:t>
      </w:r>
      <w:r w:rsidR="00364D16" w:rsidRPr="00DE7AF9">
        <w:rPr>
          <w:bCs/>
          <w:szCs w:val="24"/>
        </w:rPr>
        <w:t>dotace</w:t>
      </w:r>
      <w:r w:rsidRPr="00DE7AF9">
        <w:rPr>
          <w:bCs/>
          <w:szCs w:val="24"/>
        </w:rPr>
        <w:t xml:space="preserve"> postupuje v souladu se zákonem č. 134/2016 Sb., o zadávání veřejných zakázek, v platném znění, pokud použije prostředky státního rozpočtu k</w:t>
      </w:r>
      <w:r w:rsidR="008234F9" w:rsidRPr="00DE7AF9">
        <w:rPr>
          <w:bCs/>
          <w:szCs w:val="24"/>
        </w:rPr>
        <w:t> </w:t>
      </w:r>
      <w:r w:rsidRPr="00DE7AF9">
        <w:rPr>
          <w:bCs/>
          <w:szCs w:val="24"/>
        </w:rPr>
        <w:t xml:space="preserve">úhradě zakázky, která je nadlimitní nebo podlimitní veřejnou zakázkou podle tohoto zákona. </w:t>
      </w:r>
      <w:bookmarkEnd w:id="11"/>
    </w:p>
    <w:p w:rsidR="007B7F75" w:rsidRPr="00DE7AF9" w:rsidRDefault="00364D16" w:rsidP="00E60615">
      <w:pPr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szCs w:val="24"/>
        </w:rPr>
      </w:pPr>
      <w:r w:rsidRPr="00DE7AF9">
        <w:rPr>
          <w:bCs/>
          <w:szCs w:val="24"/>
        </w:rPr>
        <w:t>Dotaci</w:t>
      </w:r>
      <w:r w:rsidR="007B7F75" w:rsidRPr="00DE7AF9">
        <w:rPr>
          <w:szCs w:val="24"/>
        </w:rPr>
        <w:t xml:space="preserve"> je povinen příjemce vést v účetní evidenci odděleně tak, aby tyto finanční prostředky a nakládání s nimi byly odděleny od ostatního majetku příjemce a v souladu se zákonem č.</w:t>
      </w:r>
      <w:r w:rsidR="00737F03">
        <w:rPr>
          <w:szCs w:val="24"/>
        </w:rPr>
        <w:t> </w:t>
      </w:r>
      <w:r w:rsidR="007B7F75" w:rsidRPr="00DE7AF9">
        <w:rPr>
          <w:szCs w:val="24"/>
        </w:rPr>
        <w:t>563/1991 Sb., o účetnictví, ve znění pozdějších předpisů.</w:t>
      </w:r>
    </w:p>
    <w:p w:rsidR="007A0B37" w:rsidRPr="00DE7AF9" w:rsidRDefault="00E36CD3" w:rsidP="00E60615">
      <w:pPr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bCs/>
          <w:szCs w:val="24"/>
        </w:rPr>
      </w:pPr>
      <w:r w:rsidRPr="00DE7AF9">
        <w:rPr>
          <w:bCs/>
          <w:szCs w:val="24"/>
        </w:rPr>
        <w:lastRenderedPageBreak/>
        <w:t>J</w:t>
      </w:r>
      <w:r w:rsidR="007B7F75" w:rsidRPr="00DE7AF9">
        <w:rPr>
          <w:bCs/>
          <w:szCs w:val="24"/>
        </w:rPr>
        <w:t>akákoliv změna díla bude příjemcem Ministerstvu kultury písemně oznámena s uvedením důvodu bez zbytečného prodlení, nejpozději do 1. 12. 202</w:t>
      </w:r>
      <w:r w:rsidR="00D01048">
        <w:rPr>
          <w:bCs/>
          <w:szCs w:val="24"/>
        </w:rPr>
        <w:t>6</w:t>
      </w:r>
      <w:r w:rsidR="007B7F75" w:rsidRPr="00DE7AF9">
        <w:rPr>
          <w:bCs/>
          <w:szCs w:val="24"/>
        </w:rPr>
        <w:t>.</w:t>
      </w:r>
    </w:p>
    <w:p w:rsidR="007A0B37" w:rsidRPr="00DE7AF9" w:rsidRDefault="007A0B37" w:rsidP="00E60615">
      <w:pPr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bCs/>
          <w:szCs w:val="24"/>
        </w:rPr>
      </w:pPr>
      <w:r w:rsidRPr="00DE7AF9">
        <w:rPr>
          <w:bCs/>
          <w:szCs w:val="24"/>
        </w:rPr>
        <w:t>Změna identifikačních údajů uvedených v žádosti, k níž by došlo v období od podání žádosti až do skončení období, na které byl</w:t>
      </w:r>
      <w:r w:rsidR="00364D16" w:rsidRPr="00DE7AF9">
        <w:rPr>
          <w:bCs/>
          <w:szCs w:val="24"/>
        </w:rPr>
        <w:t>a</w:t>
      </w:r>
      <w:r w:rsidRPr="00DE7AF9">
        <w:rPr>
          <w:bCs/>
          <w:szCs w:val="24"/>
        </w:rPr>
        <w:t xml:space="preserve"> </w:t>
      </w:r>
      <w:r w:rsidR="00364D16" w:rsidRPr="00DE7AF9">
        <w:rPr>
          <w:bCs/>
          <w:szCs w:val="24"/>
        </w:rPr>
        <w:t>dotace</w:t>
      </w:r>
      <w:r w:rsidRPr="00DE7AF9">
        <w:rPr>
          <w:bCs/>
          <w:szCs w:val="24"/>
        </w:rPr>
        <w:t xml:space="preserve"> poskytnut</w:t>
      </w:r>
      <w:r w:rsidR="00364D16" w:rsidRPr="00DE7AF9">
        <w:rPr>
          <w:bCs/>
          <w:szCs w:val="24"/>
        </w:rPr>
        <w:t>a</w:t>
      </w:r>
      <w:r w:rsidRPr="00DE7AF9">
        <w:rPr>
          <w:bCs/>
          <w:szCs w:val="24"/>
        </w:rPr>
        <w:t xml:space="preserve">, musí být ohlášena příjemcem </w:t>
      </w:r>
      <w:r w:rsidR="00364D16" w:rsidRPr="00DE7AF9">
        <w:rPr>
          <w:bCs/>
          <w:szCs w:val="24"/>
        </w:rPr>
        <w:t>dotace</w:t>
      </w:r>
      <w:r w:rsidRPr="00DE7AF9">
        <w:rPr>
          <w:bCs/>
          <w:szCs w:val="24"/>
        </w:rPr>
        <w:t xml:space="preserve"> Ministerstvu kultury do 14 dnů ode dne, kdy se o této změně dověděl.</w:t>
      </w:r>
    </w:p>
    <w:p w:rsidR="007B7F75" w:rsidRPr="00DE7AF9" w:rsidRDefault="00E36CD3" w:rsidP="00E60615">
      <w:pPr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bCs/>
          <w:szCs w:val="24"/>
        </w:rPr>
      </w:pPr>
      <w:r w:rsidRPr="00DE7AF9">
        <w:rPr>
          <w:bCs/>
          <w:szCs w:val="24"/>
        </w:rPr>
        <w:t>V</w:t>
      </w:r>
      <w:r w:rsidR="007B7F75" w:rsidRPr="00DE7AF9">
        <w:rPr>
          <w:bCs/>
          <w:szCs w:val="24"/>
        </w:rPr>
        <w:t xml:space="preserve"> případě, že se </w:t>
      </w:r>
      <w:r w:rsidR="009E710E" w:rsidRPr="00DE7AF9">
        <w:rPr>
          <w:bCs/>
          <w:szCs w:val="24"/>
        </w:rPr>
        <w:t>práce</w:t>
      </w:r>
      <w:r w:rsidR="007B7F75" w:rsidRPr="00DE7AF9">
        <w:rPr>
          <w:bCs/>
          <w:szCs w:val="24"/>
        </w:rPr>
        <w:t xml:space="preserve"> neuskuteční, příjemce </w:t>
      </w:r>
      <w:r w:rsidR="00364D16" w:rsidRPr="00DE7AF9">
        <w:rPr>
          <w:bCs/>
          <w:szCs w:val="24"/>
        </w:rPr>
        <w:t>dotace</w:t>
      </w:r>
      <w:r w:rsidR="007B7F75" w:rsidRPr="00DE7AF9">
        <w:rPr>
          <w:bCs/>
          <w:szCs w:val="24"/>
        </w:rPr>
        <w:t xml:space="preserve"> tuto skutečnost písemně oznámí Ministerstvu kultury bezodkladně poté, co tuto skutečnost zjistil a do 30 dnů od oznámení vrátí nepoužit</w:t>
      </w:r>
      <w:r w:rsidR="009E710E" w:rsidRPr="00DE7AF9">
        <w:rPr>
          <w:bCs/>
          <w:szCs w:val="24"/>
        </w:rPr>
        <w:t>ou</w:t>
      </w:r>
      <w:r w:rsidR="007B7F75" w:rsidRPr="00DE7AF9">
        <w:rPr>
          <w:bCs/>
          <w:szCs w:val="24"/>
        </w:rPr>
        <w:t xml:space="preserve"> </w:t>
      </w:r>
      <w:r w:rsidR="009E710E" w:rsidRPr="00DE7AF9">
        <w:rPr>
          <w:bCs/>
          <w:szCs w:val="24"/>
        </w:rPr>
        <w:t>dotaci</w:t>
      </w:r>
      <w:r w:rsidR="007B7F75" w:rsidRPr="00DE7AF9">
        <w:rPr>
          <w:bCs/>
          <w:szCs w:val="24"/>
        </w:rPr>
        <w:t xml:space="preserve"> nebo je</w:t>
      </w:r>
      <w:r w:rsidR="009E710E" w:rsidRPr="00DE7AF9">
        <w:rPr>
          <w:bCs/>
          <w:szCs w:val="24"/>
        </w:rPr>
        <w:t>jí</w:t>
      </w:r>
      <w:r w:rsidR="007B7F75" w:rsidRPr="00DE7AF9">
        <w:rPr>
          <w:bCs/>
          <w:szCs w:val="24"/>
        </w:rPr>
        <w:t xml:space="preserve"> část Ministerstvu kultury. </w:t>
      </w:r>
    </w:p>
    <w:p w:rsidR="00E36CD3" w:rsidRPr="008F0FDE" w:rsidRDefault="00E36CD3" w:rsidP="00E60615">
      <w:pPr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bCs/>
          <w:szCs w:val="24"/>
        </w:rPr>
      </w:pPr>
      <w:r w:rsidRPr="00DE7AF9">
        <w:rPr>
          <w:bCs/>
          <w:szCs w:val="24"/>
        </w:rPr>
        <w:t xml:space="preserve">Příjemce </w:t>
      </w:r>
      <w:r w:rsidR="009E710E" w:rsidRPr="00DE7AF9">
        <w:rPr>
          <w:bCs/>
          <w:szCs w:val="24"/>
        </w:rPr>
        <w:t>dotace</w:t>
      </w:r>
      <w:r w:rsidRPr="00DE7AF9">
        <w:rPr>
          <w:bCs/>
          <w:szCs w:val="24"/>
        </w:rPr>
        <w:t xml:space="preserve"> je povinen vyhotovit a předložit finanční vypořádání dotace podle §</w:t>
      </w:r>
      <w:r w:rsidR="009E3713" w:rsidRPr="00DE7AF9">
        <w:rPr>
          <w:bCs/>
          <w:szCs w:val="24"/>
        </w:rPr>
        <w:t> </w:t>
      </w:r>
      <w:r w:rsidRPr="00DE7AF9">
        <w:rPr>
          <w:bCs/>
          <w:szCs w:val="24"/>
        </w:rPr>
        <w:t xml:space="preserve">75 zákona č. 218/2000 Sb., o rozpočtových pravidlech a o změně některých souvisejících zákonů (rozpočtová pravidla) a </w:t>
      </w:r>
      <w:r w:rsidR="00D01048" w:rsidRPr="00445DD0">
        <w:rPr>
          <w:bCs/>
          <w:szCs w:val="24"/>
        </w:rPr>
        <w:t xml:space="preserve">vyhlášky </w:t>
      </w:r>
      <w:r w:rsidR="00D01048" w:rsidRPr="00445DD0">
        <w:t>č. 433/2024 Sb., ze dne 18.</w:t>
      </w:r>
      <w:r w:rsidR="00D01048">
        <w:t xml:space="preserve"> </w:t>
      </w:r>
      <w:r w:rsidR="00D01048" w:rsidRPr="00445DD0">
        <w:t>12.</w:t>
      </w:r>
      <w:r w:rsidR="00D01048">
        <w:t xml:space="preserve"> </w:t>
      </w:r>
      <w:r w:rsidR="00D01048" w:rsidRPr="00445DD0">
        <w:t>2024, o</w:t>
      </w:r>
      <w:r w:rsidR="007A14F8">
        <w:t> </w:t>
      </w:r>
      <w:r w:rsidR="00D01048" w:rsidRPr="00445DD0">
        <w:t>zásadách a lhůtách finančního vypořádání vztahů se státním rozpočtem, státními finančními aktivy a Národním fondem (vyhláška o finančním vypořádání)</w:t>
      </w:r>
      <w:r w:rsidRPr="00DE7AF9">
        <w:rPr>
          <w:bCs/>
          <w:szCs w:val="24"/>
        </w:rPr>
        <w:t xml:space="preserve">. Podá-li příjemce vyúčtování na formuláři, který je přílohou rozhodnutí, nemusí zvlášť předkládat podklady podle této vyhlášky. Obsah tohoto formuláře považuje Ministerstvo kultury coby poskytovatel za finanční vypořádání dotace podle vyhlášky </w:t>
      </w:r>
      <w:r w:rsidR="00D01048" w:rsidRPr="00445DD0">
        <w:t>č. 433/2024 Sb.</w:t>
      </w:r>
    </w:p>
    <w:p w:rsidR="008F0FDE" w:rsidRPr="008F0FDE" w:rsidRDefault="008F0FDE" w:rsidP="00E60615">
      <w:pPr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Zpravidla</w:t>
      </w:r>
      <w:r w:rsidRPr="008F0FDE">
        <w:rPr>
          <w:bCs/>
          <w:szCs w:val="24"/>
        </w:rPr>
        <w:t xml:space="preserve"> </w:t>
      </w:r>
      <w:r>
        <w:rPr>
          <w:bCs/>
          <w:szCs w:val="24"/>
        </w:rPr>
        <w:t>k</w:t>
      </w:r>
      <w:r w:rsidRPr="008F0FDE">
        <w:rPr>
          <w:bCs/>
          <w:szCs w:val="24"/>
        </w:rPr>
        <w:t xml:space="preserve"> 15. 1. </w:t>
      </w:r>
      <w:r>
        <w:rPr>
          <w:bCs/>
          <w:szCs w:val="24"/>
        </w:rPr>
        <w:t>následujícího roku</w:t>
      </w:r>
      <w:r w:rsidRPr="008F0FDE">
        <w:rPr>
          <w:bCs/>
          <w:szCs w:val="24"/>
        </w:rPr>
        <w:t>, nestanoví-li Ministerstvo kultury jiný termín, budou Ministerstvu kultury zaslány doklady k finančnímu vypořádání všech finančních prostředků vynaložených podle rozhodnutí na pořízení plánu ochrany v období od 1. 1. 202</w:t>
      </w:r>
      <w:r>
        <w:rPr>
          <w:bCs/>
          <w:szCs w:val="24"/>
        </w:rPr>
        <w:t>6</w:t>
      </w:r>
      <w:r w:rsidRPr="008F0FDE">
        <w:rPr>
          <w:bCs/>
          <w:szCs w:val="24"/>
        </w:rPr>
        <w:t xml:space="preserve"> do 31. 12. 202</w:t>
      </w:r>
      <w:r>
        <w:rPr>
          <w:bCs/>
          <w:szCs w:val="24"/>
        </w:rPr>
        <w:t>6</w:t>
      </w:r>
      <w:r w:rsidRPr="008F0FDE">
        <w:rPr>
          <w:bCs/>
          <w:szCs w:val="24"/>
        </w:rPr>
        <w:t>. Doklady budou obsahovat faktur</w:t>
      </w:r>
      <w:r w:rsidR="00EE0263">
        <w:rPr>
          <w:bCs/>
          <w:szCs w:val="24"/>
        </w:rPr>
        <w:t>y</w:t>
      </w:r>
      <w:r w:rsidRPr="008F0FDE">
        <w:rPr>
          <w:bCs/>
          <w:szCs w:val="24"/>
        </w:rPr>
        <w:t>, vystaven</w:t>
      </w:r>
      <w:r w:rsidR="00EE0263">
        <w:rPr>
          <w:bCs/>
          <w:szCs w:val="24"/>
        </w:rPr>
        <w:t>é</w:t>
      </w:r>
      <w:r w:rsidRPr="008F0FDE">
        <w:rPr>
          <w:bCs/>
          <w:szCs w:val="24"/>
        </w:rPr>
        <w:t xml:space="preserve"> zhotovitelem, včetně soupisů provedených prací a výpisů z účtu (nepřikládat příkaz úhradě) k jednotlivým fakturám. Doklady o úhradě vlastního finančního podílu příjemce a doklady k finančnímu vypořádání dotace budou ve vypořádání samostatně označeny. Jako vyhodnocení akce bude Ministerstvu kultury zaslána zpráva o průběhu realizace a výsledcích prací provedených za rok 202</w:t>
      </w:r>
      <w:r>
        <w:rPr>
          <w:bCs/>
          <w:szCs w:val="24"/>
        </w:rPr>
        <w:t>6</w:t>
      </w:r>
      <w:r w:rsidRPr="008F0FDE">
        <w:rPr>
          <w:bCs/>
          <w:szCs w:val="24"/>
        </w:rPr>
        <w:t xml:space="preserve"> včetně materiálu plánu ochrany ve stupni rozpracovanosti dle doloženého rozpočtu. </w:t>
      </w:r>
    </w:p>
    <w:p w:rsidR="007B7F75" w:rsidRPr="00DE7AF9" w:rsidRDefault="007A0B37" w:rsidP="00E60615">
      <w:pPr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bCs/>
          <w:szCs w:val="24"/>
        </w:rPr>
      </w:pPr>
      <w:r w:rsidRPr="00DE7AF9">
        <w:rPr>
          <w:bCs/>
          <w:szCs w:val="24"/>
        </w:rPr>
        <w:t>F</w:t>
      </w:r>
      <w:r w:rsidR="007B7F75" w:rsidRPr="00DE7AF9">
        <w:rPr>
          <w:bCs/>
          <w:szCs w:val="24"/>
        </w:rPr>
        <w:t xml:space="preserve">inanční prostředky, které příjemce </w:t>
      </w:r>
      <w:r w:rsidR="009E710E" w:rsidRPr="00DE7AF9">
        <w:rPr>
          <w:bCs/>
          <w:szCs w:val="24"/>
        </w:rPr>
        <w:t>dotace</w:t>
      </w:r>
      <w:r w:rsidR="007B7F75" w:rsidRPr="00DE7AF9">
        <w:rPr>
          <w:bCs/>
          <w:szCs w:val="24"/>
        </w:rPr>
        <w:t xml:space="preserve"> použije v rozporu s právním titulem, na</w:t>
      </w:r>
      <w:r w:rsidR="009E3713" w:rsidRPr="00DE7AF9">
        <w:rPr>
          <w:bCs/>
          <w:szCs w:val="24"/>
        </w:rPr>
        <w:t> </w:t>
      </w:r>
      <w:r w:rsidR="007B7F75" w:rsidRPr="00DE7AF9">
        <w:rPr>
          <w:bCs/>
          <w:szCs w:val="24"/>
        </w:rPr>
        <w:t>základě kterého</w:t>
      </w:r>
      <w:r w:rsidR="00832517">
        <w:rPr>
          <w:bCs/>
          <w:szCs w:val="24"/>
        </w:rPr>
        <w:t>,</w:t>
      </w:r>
      <w:r w:rsidR="007B7F75" w:rsidRPr="00DE7AF9">
        <w:rPr>
          <w:bCs/>
          <w:szCs w:val="24"/>
        </w:rPr>
        <w:t xml:space="preserve"> mu byl</w:t>
      </w:r>
      <w:r w:rsidR="00AC564D" w:rsidRPr="00DE7AF9">
        <w:rPr>
          <w:bCs/>
          <w:szCs w:val="24"/>
        </w:rPr>
        <w:t>a</w:t>
      </w:r>
      <w:r w:rsidR="007B7F75" w:rsidRPr="00DE7AF9">
        <w:rPr>
          <w:bCs/>
          <w:szCs w:val="24"/>
        </w:rPr>
        <w:t xml:space="preserve"> </w:t>
      </w:r>
      <w:r w:rsidR="00AC564D" w:rsidRPr="00DE7AF9">
        <w:rPr>
          <w:bCs/>
          <w:szCs w:val="24"/>
        </w:rPr>
        <w:t>dotace</w:t>
      </w:r>
      <w:r w:rsidR="007B7F75" w:rsidRPr="00DE7AF9">
        <w:rPr>
          <w:bCs/>
          <w:szCs w:val="24"/>
        </w:rPr>
        <w:t xml:space="preserve"> poskytnut</w:t>
      </w:r>
      <w:r w:rsidR="00AC564D" w:rsidRPr="00DE7AF9">
        <w:rPr>
          <w:bCs/>
          <w:szCs w:val="24"/>
        </w:rPr>
        <w:t>a</w:t>
      </w:r>
      <w:r w:rsidR="007B7F75" w:rsidRPr="00DE7AF9">
        <w:rPr>
          <w:bCs/>
          <w:szCs w:val="24"/>
        </w:rPr>
        <w:t>, vrátí nejpozději v rámci vyúčtování.</w:t>
      </w:r>
    </w:p>
    <w:p w:rsidR="007A0B37" w:rsidRPr="00DE7AF9" w:rsidRDefault="007A0B37" w:rsidP="00E60615">
      <w:pPr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bCs/>
          <w:szCs w:val="24"/>
        </w:rPr>
      </w:pPr>
      <w:r w:rsidRPr="00DE7AF9">
        <w:rPr>
          <w:bCs/>
          <w:szCs w:val="24"/>
        </w:rPr>
        <w:t>Příjemce je povinen před případným zánikem vypořádat vztahy se státním rozpočtem.</w:t>
      </w:r>
    </w:p>
    <w:p w:rsidR="007B7F75" w:rsidRPr="00DE7AF9" w:rsidRDefault="007A0B37" w:rsidP="00E60615">
      <w:pPr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bCs/>
          <w:szCs w:val="24"/>
        </w:rPr>
      </w:pPr>
      <w:r w:rsidRPr="00DE7AF9">
        <w:rPr>
          <w:bCs/>
          <w:szCs w:val="24"/>
        </w:rPr>
        <w:t>P</w:t>
      </w:r>
      <w:r w:rsidR="007B7F75" w:rsidRPr="00DE7AF9">
        <w:rPr>
          <w:bCs/>
          <w:szCs w:val="24"/>
        </w:rPr>
        <w:t>říjemce je povinen umožnit Ministerstvu kultury vykonání kontroly dodržování podmínek stanovených rozhodnutím, poskytnout mu k tomu nezbytnou součinnost a umožnit vykonání veřejnosprávní kontroly na místě podle § 8 odst. 2 zákona č. 320/2001 Sb., o</w:t>
      </w:r>
      <w:r w:rsidR="00737F03">
        <w:rPr>
          <w:bCs/>
          <w:szCs w:val="24"/>
        </w:rPr>
        <w:t> </w:t>
      </w:r>
      <w:r w:rsidR="007B7F75" w:rsidRPr="00DE7AF9">
        <w:rPr>
          <w:bCs/>
          <w:szCs w:val="24"/>
        </w:rPr>
        <w:t>finanční kontrole ve veřejné správě a o změně některých zákonů (zákon o finanční kontrole), ve znění pozdějších předpisů, a v rozsahu podle ustanovení § 13 odst. 2 daného zákona.</w:t>
      </w:r>
    </w:p>
    <w:p w:rsidR="007B7F75" w:rsidRPr="00DE7AF9" w:rsidRDefault="007B7F75" w:rsidP="00E60615">
      <w:pPr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bCs/>
          <w:szCs w:val="24"/>
        </w:rPr>
      </w:pPr>
      <w:r w:rsidRPr="00DE7AF9">
        <w:rPr>
          <w:szCs w:val="24"/>
        </w:rPr>
        <w:t xml:space="preserve">Porušení nebo nesplnění stanovených podmínek, jakož i neodvedení nevyčerpaných prostředků do státního rozpočtu v souladu s vyhláškou </w:t>
      </w:r>
      <w:r w:rsidR="00D01048" w:rsidRPr="00445DD0">
        <w:t>č. 433/2024 Sb., ze dne 18.</w:t>
      </w:r>
      <w:r w:rsidR="00D01048">
        <w:t xml:space="preserve"> </w:t>
      </w:r>
      <w:r w:rsidR="00D01048" w:rsidRPr="00445DD0">
        <w:t>12.</w:t>
      </w:r>
      <w:r w:rsidR="00D01048">
        <w:t xml:space="preserve"> </w:t>
      </w:r>
      <w:r w:rsidR="00D01048" w:rsidRPr="00445DD0">
        <w:t>2024, o zásadách a lhůtách finančního vypořádání vztahů se státním rozpočtem, státními finančními aktivy a Národním fondem (vyhláška o finančním vypořádání)</w:t>
      </w:r>
      <w:r w:rsidRPr="00DE7AF9">
        <w:rPr>
          <w:szCs w:val="24"/>
        </w:rPr>
        <w:t>, je porušením rozpočtové kázně, za které může podle § 44 a) zákona č. 218/2000 Sb., o rozpočtových pravidlech a o změně některých souvisejících zákonů (rozpočtová pravidla), v platném znění, uložit místně příslušný finanční úřad odvod za porušení rozpočtové kázně a</w:t>
      </w:r>
      <w:r w:rsidR="008234F9" w:rsidRPr="00DE7AF9">
        <w:rPr>
          <w:szCs w:val="24"/>
        </w:rPr>
        <w:t> </w:t>
      </w:r>
      <w:r w:rsidRPr="00DE7AF9">
        <w:rPr>
          <w:szCs w:val="24"/>
        </w:rPr>
        <w:t>penále.</w:t>
      </w:r>
    </w:p>
    <w:p w:rsidR="000F4EF2" w:rsidRDefault="000F4EF2" w:rsidP="00E60615">
      <w:pPr>
        <w:pStyle w:val="Textkomente"/>
        <w:numPr>
          <w:ilvl w:val="0"/>
          <w:numId w:val="7"/>
        </w:numPr>
        <w:ind w:left="357" w:hanging="357"/>
        <w:jc w:val="both"/>
        <w:rPr>
          <w:sz w:val="24"/>
          <w:szCs w:val="24"/>
        </w:rPr>
      </w:pPr>
      <w:r w:rsidRPr="00DE7AF9">
        <w:rPr>
          <w:sz w:val="24"/>
          <w:szCs w:val="24"/>
        </w:rPr>
        <w:t>Příjemce dotace je povinen uvádět v materiálech souvisejících s podpořeným plánem ochrany, že se jedná o realizaci projektu za finanční podpory Ministerstva kultury. Logo je dostupné ke stažení na webových stránkách Ministerstva kultury.</w:t>
      </w:r>
    </w:p>
    <w:p w:rsidR="00737F03" w:rsidRDefault="00737F03" w:rsidP="00E60615">
      <w:pPr>
        <w:pStyle w:val="Default"/>
        <w:jc w:val="both"/>
        <w:rPr>
          <w:b/>
          <w:bCs/>
          <w:sz w:val="28"/>
          <w:szCs w:val="28"/>
        </w:rPr>
      </w:pPr>
    </w:p>
    <w:p w:rsidR="007A14F8" w:rsidRDefault="007A14F8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Část IX.</w:t>
      </w:r>
    </w:p>
    <w:p w:rsidR="007A14F8" w:rsidRDefault="007A14F8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Neuznatelné náklady </w:t>
      </w:r>
    </w:p>
    <w:p w:rsidR="007A14F8" w:rsidRPr="007A14F8" w:rsidRDefault="007A14F8" w:rsidP="00E60615">
      <w:pPr>
        <w:pStyle w:val="Default"/>
        <w:jc w:val="center"/>
        <w:rPr>
          <w:sz w:val="16"/>
          <w:szCs w:val="16"/>
        </w:rPr>
      </w:pPr>
    </w:p>
    <w:p w:rsidR="00D01048" w:rsidRPr="007A14F8" w:rsidRDefault="00D01048" w:rsidP="00E60615">
      <w:pPr>
        <w:pStyle w:val="Default"/>
        <w:jc w:val="both"/>
        <w:rPr>
          <w:bCs/>
          <w:color w:val="auto"/>
        </w:rPr>
      </w:pPr>
      <w:r w:rsidRPr="007A14F8">
        <w:rPr>
          <w:bCs/>
        </w:rPr>
        <w:t>Dotace se poskytuje na úhradu přímých nákladů na pořízení plánů ochrany.</w:t>
      </w:r>
    </w:p>
    <w:p w:rsidR="00DE7AF9" w:rsidRPr="007A14F8" w:rsidRDefault="00AB306D" w:rsidP="00E60615">
      <w:pPr>
        <w:pStyle w:val="Default"/>
        <w:jc w:val="both"/>
        <w:rPr>
          <w:rFonts w:cstheme="minorBidi"/>
          <w:bCs/>
          <w:color w:val="auto"/>
        </w:rPr>
      </w:pPr>
      <w:r w:rsidRPr="007A14F8">
        <w:rPr>
          <w:rFonts w:cstheme="minorBidi"/>
          <w:bCs/>
          <w:color w:val="auto"/>
        </w:rPr>
        <w:lastRenderedPageBreak/>
        <w:t xml:space="preserve">Z </w:t>
      </w:r>
      <w:r w:rsidR="00167B5F" w:rsidRPr="007A14F8">
        <w:rPr>
          <w:rFonts w:cstheme="minorBidi"/>
          <w:bCs/>
          <w:color w:val="auto"/>
        </w:rPr>
        <w:t>dotace</w:t>
      </w:r>
      <w:r w:rsidRPr="007A14F8">
        <w:rPr>
          <w:rFonts w:cstheme="minorBidi"/>
          <w:bCs/>
          <w:color w:val="auto"/>
        </w:rPr>
        <w:t xml:space="preserve"> ani povinného podílu příjemce nelze hradit neuznatelné náklady</w:t>
      </w:r>
      <w:r w:rsidR="007A14F8" w:rsidRPr="007A14F8">
        <w:rPr>
          <w:rFonts w:cstheme="minorBidi"/>
          <w:bCs/>
          <w:color w:val="auto"/>
        </w:rPr>
        <w:t>:</w:t>
      </w:r>
      <w:r w:rsidRPr="007A14F8">
        <w:rPr>
          <w:rFonts w:cstheme="minorBidi"/>
          <w:bCs/>
          <w:color w:val="auto"/>
        </w:rPr>
        <w:t xml:space="preserve"> </w:t>
      </w:r>
      <w:bookmarkEnd w:id="10"/>
    </w:p>
    <w:p w:rsidR="00E26EAC" w:rsidRPr="00DE7AF9" w:rsidRDefault="00E26EAC" w:rsidP="00E60615">
      <w:pPr>
        <w:pStyle w:val="Default"/>
        <w:numPr>
          <w:ilvl w:val="0"/>
          <w:numId w:val="3"/>
        </w:numPr>
        <w:ind w:left="357" w:hanging="357"/>
        <w:jc w:val="both"/>
      </w:pPr>
      <w:bookmarkStart w:id="12" w:name="_Hlk151531395"/>
      <w:r w:rsidRPr="00DE7AF9">
        <w:t xml:space="preserve">DPH – v případě, že </w:t>
      </w:r>
      <w:r w:rsidR="00167B5F" w:rsidRPr="00DE7AF9">
        <w:t>žadatel</w:t>
      </w:r>
      <w:r w:rsidRPr="00DE7AF9">
        <w:t xml:space="preserve"> je plátcem;</w:t>
      </w:r>
    </w:p>
    <w:p w:rsidR="00E26EAC" w:rsidRPr="00DE7AF9" w:rsidRDefault="00086FEC" w:rsidP="00E60615">
      <w:pPr>
        <w:pStyle w:val="Default"/>
        <w:numPr>
          <w:ilvl w:val="0"/>
          <w:numId w:val="3"/>
        </w:numPr>
        <w:ind w:left="357" w:hanging="357"/>
        <w:jc w:val="both"/>
      </w:pPr>
      <w:r>
        <w:t>R</w:t>
      </w:r>
      <w:r w:rsidR="00E26EAC" w:rsidRPr="00DE7AF9">
        <w:t>ežijní náklady, cestovné, dopravné, náklady za ubytování, koordinační činnost</w:t>
      </w:r>
      <w:r w:rsidR="00F50BB7" w:rsidRPr="00DE7AF9">
        <w:t>;</w:t>
      </w:r>
    </w:p>
    <w:p w:rsidR="00F50BB7" w:rsidRDefault="00086FEC" w:rsidP="00E60615">
      <w:pPr>
        <w:pStyle w:val="Default"/>
        <w:numPr>
          <w:ilvl w:val="0"/>
          <w:numId w:val="3"/>
        </w:numPr>
        <w:ind w:left="357" w:hanging="357"/>
        <w:jc w:val="both"/>
      </w:pPr>
      <w:r>
        <w:t>M</w:t>
      </w:r>
      <w:r w:rsidR="00F50BB7" w:rsidRPr="00DE7AF9">
        <w:t>ateriál</w:t>
      </w:r>
      <w:r w:rsidR="00F743C5">
        <w:t>ové</w:t>
      </w:r>
      <w:r w:rsidR="00F50BB7" w:rsidRPr="00DE7AF9">
        <w:t xml:space="preserve"> náklady (finanční prostředky určené na pořízení dlouhodobého hmotného </w:t>
      </w:r>
      <w:r w:rsidR="00F50BB7" w:rsidRPr="004669A8">
        <w:t>a</w:t>
      </w:r>
      <w:r w:rsidR="007A14F8">
        <w:t> </w:t>
      </w:r>
      <w:r w:rsidR="00F50BB7" w:rsidRPr="004669A8">
        <w:t>nehmotného</w:t>
      </w:r>
      <w:r w:rsidR="00F50BB7" w:rsidRPr="00DE7AF9">
        <w:t xml:space="preserve"> majetku);</w:t>
      </w:r>
    </w:p>
    <w:p w:rsidR="0005470C" w:rsidRPr="00DE7AF9" w:rsidRDefault="00086FEC" w:rsidP="00E60615">
      <w:pPr>
        <w:pStyle w:val="Default"/>
        <w:numPr>
          <w:ilvl w:val="0"/>
          <w:numId w:val="3"/>
        </w:numPr>
        <w:ind w:left="357" w:hanging="357"/>
        <w:jc w:val="both"/>
      </w:pPr>
      <w:r>
        <w:t>O</w:t>
      </w:r>
      <w:r w:rsidR="0005470C">
        <w:t>sobní náklady;</w:t>
      </w:r>
    </w:p>
    <w:p w:rsidR="00F50BB7" w:rsidRPr="00DE7AF9" w:rsidRDefault="00086FEC" w:rsidP="00E60615">
      <w:pPr>
        <w:pStyle w:val="Default"/>
        <w:numPr>
          <w:ilvl w:val="0"/>
          <w:numId w:val="3"/>
        </w:numPr>
        <w:ind w:left="357" w:hanging="357"/>
        <w:jc w:val="both"/>
      </w:pPr>
      <w:r>
        <w:t>Z</w:t>
      </w:r>
      <w:r w:rsidR="00F50BB7" w:rsidRPr="00DE7AF9">
        <w:t xml:space="preserve"> dotace </w:t>
      </w:r>
      <w:r w:rsidR="003F3874" w:rsidRPr="00DE7AF9">
        <w:t>ne</w:t>
      </w:r>
      <w:r w:rsidR="00F50BB7" w:rsidRPr="00DE7AF9">
        <w:t>lze hradit propagační materiály včetně propagačních předmětů;</w:t>
      </w:r>
    </w:p>
    <w:p w:rsidR="00F50BB7" w:rsidRPr="00DE7AF9" w:rsidRDefault="00086FEC" w:rsidP="00E60615">
      <w:pPr>
        <w:pStyle w:val="Default"/>
        <w:numPr>
          <w:ilvl w:val="0"/>
          <w:numId w:val="3"/>
        </w:numPr>
        <w:ind w:left="357" w:hanging="357"/>
        <w:jc w:val="both"/>
      </w:pPr>
      <w:r>
        <w:t>Z</w:t>
      </w:r>
      <w:r w:rsidR="003F3874" w:rsidRPr="00DE7AF9">
        <w:t xml:space="preserve"> dotace nelze hradit </w:t>
      </w:r>
      <w:r w:rsidR="00F50BB7" w:rsidRPr="00DE7AF9">
        <w:t>propagaci v mediích a ve veřejném prostoru;</w:t>
      </w:r>
    </w:p>
    <w:p w:rsidR="00F50BB7" w:rsidRPr="00DE7AF9" w:rsidRDefault="00086FEC" w:rsidP="00E60615">
      <w:pPr>
        <w:pStyle w:val="Default"/>
        <w:numPr>
          <w:ilvl w:val="0"/>
          <w:numId w:val="3"/>
        </w:numPr>
        <w:ind w:left="357" w:hanging="357"/>
        <w:jc w:val="both"/>
      </w:pPr>
      <w:r>
        <w:t>D</w:t>
      </w:r>
      <w:r w:rsidR="00F50BB7" w:rsidRPr="00DE7AF9">
        <w:t xml:space="preserve">otaci nelze poskytnout na úhradu nákladů na pohoštění, dary, bankovní poplatky, vyškolení personálu, účetní a právní služby a udílení věcných a finančních ocenění. </w:t>
      </w:r>
    </w:p>
    <w:p w:rsidR="007A14F8" w:rsidRDefault="007A14F8" w:rsidP="00E60615">
      <w:pPr>
        <w:pStyle w:val="Default"/>
        <w:jc w:val="both"/>
        <w:rPr>
          <w:sz w:val="23"/>
          <w:szCs w:val="23"/>
        </w:rPr>
      </w:pPr>
    </w:p>
    <w:bookmarkEnd w:id="12"/>
    <w:p w:rsidR="007A14F8" w:rsidRDefault="007A14F8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Část X.</w:t>
      </w:r>
    </w:p>
    <w:p w:rsidR="007A14F8" w:rsidRDefault="007A14F8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Sledování a kontrola čerpání dotace </w:t>
      </w:r>
    </w:p>
    <w:p w:rsidR="009F4F4E" w:rsidRPr="007A14F8" w:rsidRDefault="009F4F4E" w:rsidP="00E60615">
      <w:pPr>
        <w:pStyle w:val="Default"/>
        <w:jc w:val="both"/>
        <w:rPr>
          <w:b/>
          <w:sz w:val="16"/>
          <w:szCs w:val="16"/>
        </w:rPr>
      </w:pPr>
    </w:p>
    <w:p w:rsidR="0084282C" w:rsidRPr="00DE7AF9" w:rsidRDefault="0084282C" w:rsidP="00E60615">
      <w:pPr>
        <w:pStyle w:val="Default"/>
        <w:numPr>
          <w:ilvl w:val="0"/>
          <w:numId w:val="4"/>
        </w:numPr>
        <w:jc w:val="both"/>
        <w:rPr>
          <w:color w:val="auto"/>
        </w:rPr>
      </w:pPr>
      <w:bookmarkStart w:id="13" w:name="_Hlk179265651"/>
      <w:r w:rsidRPr="00DE7AF9">
        <w:rPr>
          <w:color w:val="auto"/>
        </w:rPr>
        <w:t xml:space="preserve">Příjemce dotace odpovídá za hospodárné použití prostředků v souladu s účely, na které byly prostředky poskytnuty, dále za jejich řádné a oddělené sledování v účetnictví. </w:t>
      </w:r>
    </w:p>
    <w:p w:rsidR="0084282C" w:rsidRPr="00DE7AF9" w:rsidRDefault="0084282C" w:rsidP="00E60615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DE7AF9">
        <w:rPr>
          <w:color w:val="auto"/>
        </w:rPr>
        <w:t xml:space="preserve">Ověřování správnosti použití poskytnutých finančních prostředků podléhá kontrole odboru památkové péče </w:t>
      </w:r>
      <w:r w:rsidR="00861810" w:rsidRPr="00DE7AF9">
        <w:rPr>
          <w:color w:val="auto"/>
        </w:rPr>
        <w:t>Ministerstva kultury</w:t>
      </w:r>
      <w:r w:rsidRPr="00DE7AF9">
        <w:rPr>
          <w:color w:val="auto"/>
        </w:rPr>
        <w:t xml:space="preserve">, oddělení kontroly dotací odboru interního auditu, územních finančních orgánů a Nejvyššího kontrolního úřadu. </w:t>
      </w:r>
    </w:p>
    <w:p w:rsidR="0084282C" w:rsidRDefault="0084282C" w:rsidP="00E60615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DE7AF9">
        <w:rPr>
          <w:color w:val="auto"/>
        </w:rPr>
        <w:t xml:space="preserve">Finanční kontrola, řízení o odnětí </w:t>
      </w:r>
      <w:r w:rsidR="00922EAF" w:rsidRPr="00DE7AF9">
        <w:rPr>
          <w:color w:val="auto"/>
        </w:rPr>
        <w:t>dotace</w:t>
      </w:r>
      <w:r w:rsidRPr="00DE7AF9">
        <w:rPr>
          <w:color w:val="auto"/>
        </w:rPr>
        <w:t xml:space="preserve"> a ukládání sankcí za porušení rozpočtové kázně se provádí v souladu s příslušnými ustanoveními zákona č. 218/2000 Sb., o rozpočtových pravidlech a o změně některých souvisejících zákonů (rozpočtová pravidla), ve znění pozdějších předpisů, a dle zákona č. 320/2001 Sb., o finanční kontrole ve veřejné správě a</w:t>
      </w:r>
      <w:r w:rsidR="00ED2595" w:rsidRPr="00DE7AF9">
        <w:rPr>
          <w:color w:val="auto"/>
        </w:rPr>
        <w:t> </w:t>
      </w:r>
      <w:r w:rsidRPr="00DE7AF9">
        <w:rPr>
          <w:color w:val="auto"/>
        </w:rPr>
        <w:t>o</w:t>
      </w:r>
      <w:r w:rsidR="00ED2595" w:rsidRPr="00DE7AF9">
        <w:rPr>
          <w:color w:val="auto"/>
        </w:rPr>
        <w:t> </w:t>
      </w:r>
      <w:r w:rsidRPr="00DE7AF9">
        <w:rPr>
          <w:color w:val="auto"/>
        </w:rPr>
        <w:t xml:space="preserve">změně některých zákonů, ve znění pozdějších předpisů. </w:t>
      </w:r>
    </w:p>
    <w:p w:rsidR="008C44D3" w:rsidRDefault="00D64D78" w:rsidP="00E60615">
      <w:pPr>
        <w:numPr>
          <w:ilvl w:val="0"/>
          <w:numId w:val="4"/>
        </w:numPr>
        <w:spacing w:before="100" w:beforeAutospacing="1" w:line="240" w:lineRule="auto"/>
        <w:contextualSpacing w:val="0"/>
        <w:jc w:val="both"/>
        <w:rPr>
          <w:szCs w:val="24"/>
        </w:rPr>
      </w:pPr>
      <w:r w:rsidRPr="008B35A4">
        <w:rPr>
          <w:szCs w:val="24"/>
        </w:rPr>
        <w:t>Příjemce je povinen umožnit Ministerstvu kultury vykonání kontroly dodržování podmínek stanovených tímto rozhodnutím, poskytnout mu k tomu nezbytnou součinnost a umožnit vykonání veřejnosprávní kontroly na místě podle § 8 odst. 2 zákona č. 320/2001 Sb., o finanční kontrole ve veřejné správě a o změně některých zákonů (zákon o finanční kontrole), ve znění pozdějších předpisů, a v rozsahu podle ustanovení § 13 odst. 2 daného zákona.</w:t>
      </w:r>
    </w:p>
    <w:p w:rsidR="008C44D3" w:rsidRPr="008C44D3" w:rsidRDefault="008C44D3" w:rsidP="00E60615">
      <w:pPr>
        <w:spacing w:before="100" w:beforeAutospacing="1" w:line="240" w:lineRule="auto"/>
        <w:ind w:left="360"/>
        <w:contextualSpacing w:val="0"/>
        <w:jc w:val="both"/>
        <w:rPr>
          <w:sz w:val="2"/>
          <w:szCs w:val="2"/>
        </w:rPr>
      </w:pPr>
    </w:p>
    <w:bookmarkEnd w:id="13"/>
    <w:p w:rsidR="007A14F8" w:rsidRDefault="007A14F8" w:rsidP="00E60615">
      <w:pPr>
        <w:pStyle w:val="Default"/>
        <w:ind w:left="3905" w:firstLine="349"/>
        <w:rPr>
          <w:sz w:val="28"/>
          <w:szCs w:val="28"/>
        </w:rPr>
      </w:pPr>
      <w:r>
        <w:rPr>
          <w:sz w:val="28"/>
          <w:szCs w:val="28"/>
        </w:rPr>
        <w:t>Část XI.</w:t>
      </w:r>
    </w:p>
    <w:p w:rsidR="000D0FA2" w:rsidRDefault="007A14F8" w:rsidP="00E60615">
      <w:pPr>
        <w:pStyle w:val="Default"/>
        <w:ind w:left="2487"/>
        <w:rPr>
          <w:sz w:val="28"/>
          <w:szCs w:val="28"/>
        </w:rPr>
      </w:pPr>
      <w:r>
        <w:rPr>
          <w:sz w:val="28"/>
          <w:szCs w:val="28"/>
        </w:rPr>
        <w:t xml:space="preserve">Finanční zúčtování se státním rozpočtem </w:t>
      </w:r>
    </w:p>
    <w:p w:rsidR="007A14F8" w:rsidRPr="007A14F8" w:rsidRDefault="007A14F8" w:rsidP="00E60615">
      <w:pPr>
        <w:pStyle w:val="Default"/>
        <w:ind w:left="2487"/>
        <w:rPr>
          <w:sz w:val="16"/>
          <w:szCs w:val="16"/>
        </w:rPr>
      </w:pPr>
    </w:p>
    <w:p w:rsidR="0084282C" w:rsidRPr="00E77B5F" w:rsidRDefault="0084282C" w:rsidP="00E60615">
      <w:pPr>
        <w:pStyle w:val="Default"/>
        <w:numPr>
          <w:ilvl w:val="0"/>
          <w:numId w:val="5"/>
        </w:numPr>
        <w:ind w:left="357" w:hanging="357"/>
        <w:jc w:val="both"/>
        <w:rPr>
          <w:color w:val="auto"/>
        </w:rPr>
      </w:pPr>
      <w:bookmarkStart w:id="14" w:name="_Hlk151531836"/>
      <w:r w:rsidRPr="00E77B5F">
        <w:rPr>
          <w:bCs/>
          <w:color w:val="auto"/>
        </w:rPr>
        <w:t>Vyúčtování dotace</w:t>
      </w:r>
      <w:r w:rsidRPr="00E77B5F">
        <w:rPr>
          <w:color w:val="auto"/>
        </w:rPr>
        <w:t xml:space="preserve">, včetně vyúčtování skutečných nákladů realizované akce, předloží příjemce </w:t>
      </w:r>
      <w:r w:rsidR="00922EAF" w:rsidRPr="00E77B5F">
        <w:rPr>
          <w:color w:val="auto"/>
        </w:rPr>
        <w:t>dotace</w:t>
      </w:r>
      <w:r w:rsidRPr="00E77B5F">
        <w:rPr>
          <w:color w:val="auto"/>
        </w:rPr>
        <w:t xml:space="preserve"> odboru památkové péče M</w:t>
      </w:r>
      <w:r w:rsidR="005C19C8" w:rsidRPr="00E77B5F">
        <w:rPr>
          <w:color w:val="auto"/>
        </w:rPr>
        <w:t>inisterstva kultury</w:t>
      </w:r>
      <w:r w:rsidRPr="00E77B5F">
        <w:rPr>
          <w:color w:val="auto"/>
        </w:rPr>
        <w:t xml:space="preserve"> v</w:t>
      </w:r>
      <w:r w:rsidR="005C19C8" w:rsidRPr="00E77B5F">
        <w:rPr>
          <w:color w:val="auto"/>
        </w:rPr>
        <w:t> </w:t>
      </w:r>
      <w:r w:rsidRPr="00E77B5F">
        <w:rPr>
          <w:color w:val="auto"/>
        </w:rPr>
        <w:t>souladu</w:t>
      </w:r>
      <w:r w:rsidR="005C19C8" w:rsidRPr="00E77B5F">
        <w:rPr>
          <w:color w:val="auto"/>
        </w:rPr>
        <w:t xml:space="preserve"> s </w:t>
      </w:r>
      <w:r w:rsidR="00CC0E54" w:rsidRPr="00E77B5F">
        <w:rPr>
          <w:color w:val="auto"/>
          <w:sz w:val="23"/>
          <w:szCs w:val="23"/>
        </w:rPr>
        <w:t xml:space="preserve">vyhláškou </w:t>
      </w:r>
      <w:r w:rsidR="00CC0E54" w:rsidRPr="00E77B5F">
        <w:t xml:space="preserve">č. 433/2024 Sb., ze dne 18. 12. 2024, o zásadách a lhůtách finančního vypořádání vztahů se státním rozpočtem, státními finančními aktivy a Národním fondem (vyhláška o finančním vypořádání) </w:t>
      </w:r>
      <w:r w:rsidRPr="00E77B5F">
        <w:rPr>
          <w:color w:val="auto"/>
        </w:rPr>
        <w:t>a</w:t>
      </w:r>
      <w:r w:rsidR="00ED2595" w:rsidRPr="00E77B5F">
        <w:rPr>
          <w:color w:val="auto"/>
        </w:rPr>
        <w:t> </w:t>
      </w:r>
      <w:r w:rsidRPr="00E77B5F">
        <w:rPr>
          <w:color w:val="auto"/>
        </w:rPr>
        <w:t>v souladu s vydaným rozhodnutím o</w:t>
      </w:r>
      <w:r w:rsidR="00DE7AF9" w:rsidRPr="00E77B5F">
        <w:rPr>
          <w:color w:val="auto"/>
        </w:rPr>
        <w:t> </w:t>
      </w:r>
      <w:r w:rsidRPr="00E77B5F">
        <w:rPr>
          <w:color w:val="auto"/>
        </w:rPr>
        <w:t xml:space="preserve">poskytnutí </w:t>
      </w:r>
      <w:r w:rsidR="00EB1E4A" w:rsidRPr="00E77B5F">
        <w:rPr>
          <w:color w:val="auto"/>
        </w:rPr>
        <w:t>dotace</w:t>
      </w:r>
      <w:r w:rsidRPr="00E77B5F">
        <w:rPr>
          <w:color w:val="auto"/>
        </w:rPr>
        <w:t xml:space="preserve">. </w:t>
      </w:r>
    </w:p>
    <w:p w:rsidR="00B469B1" w:rsidRPr="00B469B1" w:rsidRDefault="0084282C" w:rsidP="00E60615">
      <w:pPr>
        <w:pStyle w:val="Default"/>
        <w:numPr>
          <w:ilvl w:val="0"/>
          <w:numId w:val="5"/>
        </w:numPr>
        <w:ind w:left="357" w:hanging="357"/>
        <w:jc w:val="both"/>
        <w:rPr>
          <w:color w:val="auto"/>
        </w:rPr>
      </w:pPr>
      <w:r w:rsidRPr="00E77B5F">
        <w:rPr>
          <w:color w:val="auto"/>
        </w:rPr>
        <w:t>V termínu stanoveném v rozhodnutí o poskytnutí dotace, zpravidla k 15. 1. následujícího</w:t>
      </w:r>
      <w:r w:rsidRPr="00DE7AF9">
        <w:rPr>
          <w:color w:val="auto"/>
        </w:rPr>
        <w:t xml:space="preserve"> roku, zašlou příjemci dotací vyúčtování finančních prostředků. Součástí vyúčtování je vyplněná tabulka vyúčtování dotace, podepsaná příjemcem dotace nebo osobou oprávněnou jeho jménem jednat. </w:t>
      </w:r>
    </w:p>
    <w:p w:rsidR="00EE7EE3" w:rsidRPr="00DE7AF9" w:rsidRDefault="00EB1E4A" w:rsidP="00E60615">
      <w:pPr>
        <w:pStyle w:val="Default"/>
        <w:numPr>
          <w:ilvl w:val="0"/>
          <w:numId w:val="5"/>
        </w:numPr>
        <w:ind w:left="357" w:hanging="357"/>
        <w:jc w:val="both"/>
        <w:rPr>
          <w:color w:val="auto"/>
        </w:rPr>
      </w:pPr>
      <w:r w:rsidRPr="00DE7AF9">
        <w:rPr>
          <w:color w:val="auto"/>
        </w:rPr>
        <w:t xml:space="preserve">Příjemce je povinen vyhotovit a předložit finanční vypořádání </w:t>
      </w:r>
      <w:r w:rsidR="00922EAF" w:rsidRPr="00DE7AF9">
        <w:rPr>
          <w:color w:val="auto"/>
        </w:rPr>
        <w:t>dotace</w:t>
      </w:r>
      <w:r w:rsidRPr="00DE7AF9">
        <w:rPr>
          <w:color w:val="auto"/>
        </w:rPr>
        <w:t xml:space="preserve"> podle vyhlášky </w:t>
      </w:r>
      <w:r w:rsidR="00CC0E54">
        <w:t>č. 433/2024 Sb., ze dne 18. 12. 2024, o zásadách a lhůtách finančního vypořádání vztahů se státním rozpočtem, státními finančními aktivy a Národním fondem (vyhláška o finančním vypořádání)</w:t>
      </w:r>
      <w:r w:rsidRPr="00DE7AF9">
        <w:rPr>
          <w:color w:val="auto"/>
        </w:rPr>
        <w:t xml:space="preserve">. Podá-li příjemce vyúčtování na formuláři, který je přílohou rozhodnutí, nemusí zvlášť předkládat podklady podle této vyhlášky. Obsah tohoto formuláře považuje Ministerstvo kultury coby poskytovatel za finanční vypořádání </w:t>
      </w:r>
      <w:r w:rsidR="00364D16" w:rsidRPr="00DE7AF9">
        <w:rPr>
          <w:color w:val="auto"/>
        </w:rPr>
        <w:t>dotace</w:t>
      </w:r>
      <w:r w:rsidRPr="00DE7AF9">
        <w:rPr>
          <w:color w:val="auto"/>
        </w:rPr>
        <w:t xml:space="preserve"> podle vyhlášky </w:t>
      </w:r>
      <w:r w:rsidR="00CC0E54">
        <w:t xml:space="preserve">č. 433/2024 Sb., ze dne 18. 12. 2024, o zásadách a lhůtách finančního vypořádání vztahů se </w:t>
      </w:r>
      <w:r w:rsidR="00CC0E54">
        <w:lastRenderedPageBreak/>
        <w:t>státním rozpočtem, státními finančními aktivy a Národním fondem (vyhláška o finančním vypořádání)</w:t>
      </w:r>
      <w:r w:rsidRPr="00DE7AF9">
        <w:rPr>
          <w:color w:val="auto"/>
        </w:rPr>
        <w:t>.</w:t>
      </w:r>
    </w:p>
    <w:p w:rsidR="009C4D0F" w:rsidRPr="008C44D3" w:rsidRDefault="009C4D0F" w:rsidP="00E60615">
      <w:pPr>
        <w:pStyle w:val="Default"/>
        <w:numPr>
          <w:ilvl w:val="0"/>
          <w:numId w:val="5"/>
        </w:numPr>
        <w:ind w:left="357" w:hanging="357"/>
        <w:jc w:val="both"/>
        <w:rPr>
          <w:color w:val="auto"/>
        </w:rPr>
      </w:pPr>
      <w:bookmarkStart w:id="15" w:name="_Hlk179265829"/>
      <w:bookmarkEnd w:id="14"/>
      <w:r w:rsidRPr="008C44D3">
        <w:rPr>
          <w:color w:val="auto"/>
        </w:rPr>
        <w:t>Ministerstvo kultury upozorňuje, že pokud příjemce vyúčtuje dotaci nesprávně, neúplně nebo opožděně, pokud neprovede s Ministerstvem kultury její finanční vypořádání nebo pokud nevrátí do státního rozpočtu dotaci nebo její část, kterou nepoužil nebo kterou použil v rozporu s rozhodnutím o poskytnutí dotace, čímž je míněno i porušení podmínek stanovených ve výroku rozhodnutí, bude vyzván k</w:t>
      </w:r>
      <w:r w:rsidR="009705C6" w:rsidRPr="008C44D3">
        <w:rPr>
          <w:color w:val="auto"/>
        </w:rPr>
        <w:t> </w:t>
      </w:r>
      <w:r w:rsidRPr="008C44D3">
        <w:rPr>
          <w:color w:val="auto"/>
        </w:rPr>
        <w:t xml:space="preserve">nápravě, k čemuž mu bude stanovena přiměřená lhůta. Pokud příjemce neprovede nápravu ve stanovené lhůtě, nebo nebude-li náprava možná (například pokud příjemce zaslal vyúčtování dotace opožděně), bude příjemce vyzván k vrácení dotace nebo její části a bude mu k tomu stanovena lhůta. </w:t>
      </w:r>
    </w:p>
    <w:p w:rsidR="009C4D0F" w:rsidRPr="008C44D3" w:rsidRDefault="009C4D0F" w:rsidP="00E60615">
      <w:pPr>
        <w:pStyle w:val="Default"/>
        <w:numPr>
          <w:ilvl w:val="0"/>
          <w:numId w:val="5"/>
        </w:numPr>
        <w:ind w:left="357" w:hanging="357"/>
        <w:jc w:val="both"/>
        <w:rPr>
          <w:color w:val="auto"/>
        </w:rPr>
      </w:pPr>
      <w:r w:rsidRPr="008C44D3">
        <w:rPr>
          <w:color w:val="auto"/>
        </w:rPr>
        <w:t xml:space="preserve">Pokud příjemce ve stanovené lhůtě dotaci nebo její část nevrátí do státního rozpočtu (na depozitní účet Ministerstva kultury), bude věc předána místně příslušnému územnímu finančnímu orgánu k dořešení dle § </w:t>
      </w:r>
      <w:proofErr w:type="gramStart"/>
      <w:r w:rsidRPr="008C44D3">
        <w:rPr>
          <w:color w:val="auto"/>
        </w:rPr>
        <w:t>44a</w:t>
      </w:r>
      <w:proofErr w:type="gramEnd"/>
      <w:r w:rsidRPr="008C44D3">
        <w:rPr>
          <w:color w:val="auto"/>
        </w:rPr>
        <w:t xml:space="preserve"> zákona č. 218/2000 Sb. To platí i</w:t>
      </w:r>
      <w:r w:rsidR="009705C6" w:rsidRPr="008C44D3">
        <w:rPr>
          <w:color w:val="auto"/>
        </w:rPr>
        <w:t> </w:t>
      </w:r>
      <w:r w:rsidRPr="008C44D3">
        <w:rPr>
          <w:color w:val="auto"/>
        </w:rPr>
        <w:t>v</w:t>
      </w:r>
      <w:r w:rsidR="009705C6" w:rsidRPr="008C44D3">
        <w:rPr>
          <w:color w:val="auto"/>
        </w:rPr>
        <w:t> </w:t>
      </w:r>
      <w:r w:rsidRPr="008C44D3">
        <w:rPr>
          <w:color w:val="auto"/>
        </w:rPr>
        <w:t>případech, kdy příjemce byl vyzván k nápravě, ale své pochybení nenapravil ve stanovené lhůtě. V souladu s § 14f odst. 7 zákona č. 218/2000 Sb. bude Ministerstvo kultury vždy informovat příslušný finanční úřad o vydání výzvy k provedení opatření k nápravě a o vydání výzvy k vrácení příspěvku nebo dotace, jakož i o tom, jak příjemce na výzvu reagoval.</w:t>
      </w:r>
    </w:p>
    <w:p w:rsidR="009C4D0F" w:rsidRPr="008C44D3" w:rsidRDefault="009C4D0F" w:rsidP="00E60615">
      <w:pPr>
        <w:pStyle w:val="Default"/>
        <w:numPr>
          <w:ilvl w:val="0"/>
          <w:numId w:val="5"/>
        </w:numPr>
        <w:ind w:left="357" w:hanging="357"/>
        <w:jc w:val="both"/>
        <w:rPr>
          <w:color w:val="auto"/>
        </w:rPr>
      </w:pPr>
      <w:r w:rsidRPr="008C44D3">
        <w:rPr>
          <w:color w:val="auto"/>
        </w:rPr>
        <w:t>Ministerstvo kultury jakožto poskytovatel dotací ze státního rozpočtu bude na příjemce, resp. žadatele podle předchozího odstavce z hlediska následujícího roku hledět v dotační oblasti, v níž byla dotace poskytnuta, jako na neoprávněného žadatele ve smyslu § 14j odst. 1 a odst. 4 písm. b) zákona č. 218/2000 Sb., pokud tak bude stanoveno ve výzvě k podání žádosti o poskytnutí dotace; takovému příjemci, resp. žadateli, nebude Ministerstvem kultury dotace na pořízení plánu ochrany v rámci jehož pořízení k pochybení došlo, poskytnut</w:t>
      </w:r>
      <w:r w:rsidR="009705C6" w:rsidRPr="008C44D3">
        <w:rPr>
          <w:color w:val="auto"/>
        </w:rPr>
        <w:t>a</w:t>
      </w:r>
      <w:r w:rsidRPr="008C44D3">
        <w:rPr>
          <w:color w:val="auto"/>
        </w:rPr>
        <w:t>.</w:t>
      </w:r>
    </w:p>
    <w:p w:rsidR="009C4D0F" w:rsidRPr="008C44D3" w:rsidRDefault="009C4D0F" w:rsidP="00E60615">
      <w:pPr>
        <w:pStyle w:val="Default"/>
        <w:numPr>
          <w:ilvl w:val="0"/>
          <w:numId w:val="5"/>
        </w:numPr>
        <w:ind w:left="357" w:hanging="357"/>
        <w:jc w:val="both"/>
        <w:rPr>
          <w:color w:val="auto"/>
        </w:rPr>
      </w:pPr>
      <w:r w:rsidRPr="008C44D3">
        <w:rPr>
          <w:color w:val="auto"/>
        </w:rPr>
        <w:t>Rovněž v případě, že se u pokračující akce zařazené do Programu regenerace městských památkových rezervací a městských památkových zón dodatečně prokáže, že příjemce vyúčtoval dotaci čerpan</w:t>
      </w:r>
      <w:r w:rsidR="009705C6" w:rsidRPr="008C44D3">
        <w:rPr>
          <w:color w:val="auto"/>
        </w:rPr>
        <w:t>ou</w:t>
      </w:r>
      <w:r w:rsidRPr="008C44D3">
        <w:rPr>
          <w:color w:val="auto"/>
        </w:rPr>
        <w:t xml:space="preserve"> v předchozím roce nesprávně, neúplně nebo opožděně, pokud neprovedl s Ministerstvem kultury je</w:t>
      </w:r>
      <w:r w:rsidR="009705C6" w:rsidRPr="008C44D3">
        <w:rPr>
          <w:color w:val="auto"/>
        </w:rPr>
        <w:t>jí</w:t>
      </w:r>
      <w:r w:rsidRPr="008C44D3">
        <w:rPr>
          <w:color w:val="auto"/>
        </w:rPr>
        <w:t xml:space="preserve"> finanční vypořádání nebo nevrátil do státního rozpočtu </w:t>
      </w:r>
      <w:r w:rsidR="009705C6" w:rsidRPr="008C44D3">
        <w:rPr>
          <w:color w:val="auto"/>
        </w:rPr>
        <w:t>dotaci</w:t>
      </w:r>
      <w:r w:rsidRPr="008C44D3">
        <w:rPr>
          <w:color w:val="auto"/>
        </w:rPr>
        <w:t xml:space="preserve"> nebo je</w:t>
      </w:r>
      <w:r w:rsidR="009705C6" w:rsidRPr="008C44D3">
        <w:rPr>
          <w:color w:val="auto"/>
        </w:rPr>
        <w:t>jí</w:t>
      </w:r>
      <w:r w:rsidRPr="008C44D3">
        <w:rPr>
          <w:color w:val="auto"/>
        </w:rPr>
        <w:t xml:space="preserve"> část, kterou nepoužil nebo kterou použil v rozporu s rozhodnutím o poskytnutí dotace, nebude Ministerstvem kultury dotace na </w:t>
      </w:r>
      <w:r w:rsidR="009705C6" w:rsidRPr="008C44D3">
        <w:rPr>
          <w:color w:val="auto"/>
        </w:rPr>
        <w:t>pokračovaní pořizování plánu ochrany</w:t>
      </w:r>
      <w:r w:rsidRPr="008C44D3">
        <w:rPr>
          <w:color w:val="auto"/>
        </w:rPr>
        <w:t xml:space="preserve"> poskytnut</w:t>
      </w:r>
      <w:r w:rsidR="009705C6" w:rsidRPr="008C44D3">
        <w:rPr>
          <w:color w:val="auto"/>
        </w:rPr>
        <w:t>a</w:t>
      </w:r>
      <w:r w:rsidRPr="008C44D3">
        <w:rPr>
          <w:color w:val="auto"/>
        </w:rPr>
        <w:t xml:space="preserve">. </w:t>
      </w:r>
    </w:p>
    <w:p w:rsidR="009C4D0F" w:rsidRPr="008C44D3" w:rsidRDefault="009C4D0F" w:rsidP="00E60615">
      <w:pPr>
        <w:pStyle w:val="Default"/>
        <w:numPr>
          <w:ilvl w:val="0"/>
          <w:numId w:val="5"/>
        </w:numPr>
        <w:ind w:left="357" w:hanging="357"/>
        <w:jc w:val="both"/>
        <w:rPr>
          <w:color w:val="auto"/>
        </w:rPr>
      </w:pPr>
      <w:r w:rsidRPr="008C44D3">
        <w:rPr>
          <w:color w:val="auto"/>
        </w:rPr>
        <w:t xml:space="preserve">Jestliže příjemce (žadatel) pochybí při vyúčtování příspěvku nebo dotace, podle předchozích odstavců, jež byly poskytnuty v dotační oblasti programů na obnovu kulturních památek (§ 16 odst. 2 zákona o státní památkové péči) u dvou či více akcí obnovy kulturních památek, pak nebude tomuto příjemci poskytnut příspěvek ani dotace v žádném z programů na obnovu kulturních památek, (včetně obnovy nepamátkového objektu a dotace na pořízení plánu ochrany) pokud tak bude stanoveno v příslušných výzvách.  </w:t>
      </w:r>
    </w:p>
    <w:bookmarkEnd w:id="15"/>
    <w:p w:rsidR="009C4D0F" w:rsidRPr="008C44D3" w:rsidRDefault="009C4D0F" w:rsidP="00E60615">
      <w:pPr>
        <w:pStyle w:val="Default"/>
        <w:jc w:val="both"/>
        <w:rPr>
          <w:color w:val="auto"/>
        </w:rPr>
      </w:pPr>
      <w:r w:rsidRPr="008C44D3">
        <w:rPr>
          <w:color w:val="auto"/>
        </w:rPr>
        <w:t xml:space="preserve"> </w:t>
      </w:r>
    </w:p>
    <w:p w:rsidR="009C4D0F" w:rsidRPr="008C44D3" w:rsidRDefault="009C4D0F" w:rsidP="00E60615">
      <w:pPr>
        <w:pStyle w:val="Default"/>
        <w:jc w:val="both"/>
        <w:rPr>
          <w:color w:val="auto"/>
        </w:rPr>
      </w:pPr>
      <w:bookmarkStart w:id="16" w:name="_Hlk179265879"/>
      <w:r w:rsidRPr="008C44D3">
        <w:rPr>
          <w:color w:val="auto"/>
        </w:rPr>
        <w:t>Jestliže příjemce nepředloží vyúčtování dotace poskytnut</w:t>
      </w:r>
      <w:r w:rsidR="009705C6" w:rsidRPr="008C44D3">
        <w:rPr>
          <w:color w:val="auto"/>
        </w:rPr>
        <w:t>é</w:t>
      </w:r>
      <w:r w:rsidRPr="008C44D3">
        <w:rPr>
          <w:color w:val="auto"/>
        </w:rPr>
        <w:t xml:space="preserve"> pro rok 202</w:t>
      </w:r>
      <w:r w:rsidR="00D414AC" w:rsidRPr="008C44D3">
        <w:rPr>
          <w:color w:val="auto"/>
        </w:rPr>
        <w:t>6</w:t>
      </w:r>
      <w:r w:rsidRPr="008C44D3">
        <w:rPr>
          <w:color w:val="auto"/>
        </w:rPr>
        <w:t xml:space="preserve"> do 15. ledna 202</w:t>
      </w:r>
      <w:r w:rsidR="00D414AC" w:rsidRPr="008C44D3">
        <w:rPr>
          <w:color w:val="auto"/>
        </w:rPr>
        <w:t>7</w:t>
      </w:r>
      <w:r w:rsidRPr="008C44D3">
        <w:rPr>
          <w:color w:val="auto"/>
        </w:rPr>
        <w:t>, dopouští se porušení rozpočtové kázně, jehož závažnost se odvíjí od toho, kdy příjemce vyúčtování předloží. Pokud jej předloží nejpozději 15. února 202</w:t>
      </w:r>
      <w:r w:rsidR="00D414AC" w:rsidRPr="008C44D3">
        <w:rPr>
          <w:color w:val="auto"/>
        </w:rPr>
        <w:t>7</w:t>
      </w:r>
      <w:r w:rsidRPr="008C44D3">
        <w:rPr>
          <w:color w:val="auto"/>
        </w:rPr>
        <w:t>, pak se bude jednat o</w:t>
      </w:r>
      <w:r w:rsidR="009705C6" w:rsidRPr="008C44D3">
        <w:rPr>
          <w:color w:val="auto"/>
        </w:rPr>
        <w:t> </w:t>
      </w:r>
      <w:r w:rsidRPr="008C44D3">
        <w:rPr>
          <w:color w:val="auto"/>
        </w:rPr>
        <w:t>méně závažné porušení rozpočtové kázně. Jestliže příjemce předloží vyúčtování po 15.</w:t>
      </w:r>
      <w:r w:rsidR="009705C6" w:rsidRPr="008C44D3">
        <w:rPr>
          <w:color w:val="auto"/>
        </w:rPr>
        <w:t> </w:t>
      </w:r>
      <w:r w:rsidRPr="008C44D3">
        <w:rPr>
          <w:color w:val="auto"/>
        </w:rPr>
        <w:t>únoru 202</w:t>
      </w:r>
      <w:r w:rsidR="00D414AC" w:rsidRPr="008C44D3">
        <w:rPr>
          <w:color w:val="auto"/>
        </w:rPr>
        <w:t>7</w:t>
      </w:r>
      <w:r w:rsidRPr="008C44D3">
        <w:rPr>
          <w:color w:val="auto"/>
        </w:rPr>
        <w:t xml:space="preserve">, pak se již o méně závažné porušení nebude jednat a příjemce bude povinen vrátit do státního rozpočtu celý poskytnutý příspěvek nebo dotaci. </w:t>
      </w:r>
    </w:p>
    <w:p w:rsidR="00D337F6" w:rsidRPr="0042570B" w:rsidRDefault="00D337F6" w:rsidP="00E60615">
      <w:pPr>
        <w:pStyle w:val="Default"/>
        <w:jc w:val="both"/>
        <w:rPr>
          <w:sz w:val="16"/>
          <w:szCs w:val="16"/>
        </w:rPr>
      </w:pPr>
      <w:bookmarkStart w:id="17" w:name="_GoBack"/>
      <w:bookmarkEnd w:id="16"/>
      <w:bookmarkEnd w:id="17"/>
    </w:p>
    <w:p w:rsidR="0084282C" w:rsidRPr="003B2CEF" w:rsidRDefault="003B2CEF" w:rsidP="00E60615">
      <w:pPr>
        <w:pStyle w:val="Default"/>
        <w:jc w:val="both"/>
      </w:pPr>
      <w:bookmarkStart w:id="18" w:name="_Hlk151531945"/>
      <w:r>
        <w:t>Doklady k vyúčtování dotace:</w:t>
      </w:r>
    </w:p>
    <w:p w:rsidR="0084282C" w:rsidRPr="00DE7AF9" w:rsidRDefault="00861810" w:rsidP="00E60615">
      <w:pPr>
        <w:pStyle w:val="Default"/>
        <w:jc w:val="both"/>
        <w:rPr>
          <w:b/>
        </w:rPr>
      </w:pPr>
      <w:r w:rsidRPr="00DE7AF9">
        <w:rPr>
          <w:color w:val="auto"/>
        </w:rPr>
        <w:t>Ministerstvu kultury</w:t>
      </w:r>
      <w:r w:rsidR="0084282C" w:rsidRPr="00DE7AF9">
        <w:t xml:space="preserve"> se zasíl</w:t>
      </w:r>
      <w:r w:rsidR="0074657D">
        <w:t>a</w:t>
      </w:r>
      <w:r w:rsidR="008C44D3">
        <w:t>jí</w:t>
      </w:r>
      <w:r w:rsidR="00B469B1">
        <w:t xml:space="preserve"> </w:t>
      </w:r>
      <w:r w:rsidR="00D414AC">
        <w:t xml:space="preserve">datovou schránkou </w:t>
      </w:r>
      <w:r w:rsidR="00B469B1">
        <w:t>v souladu s vydaným rozhodnutím o</w:t>
      </w:r>
      <w:r w:rsidR="00D414AC">
        <w:t> </w:t>
      </w:r>
      <w:r w:rsidR="00B469B1">
        <w:t>poskytnutí dotace</w:t>
      </w:r>
      <w:r w:rsidR="0084282C" w:rsidRPr="00DE7AF9">
        <w:t>:</w:t>
      </w:r>
    </w:p>
    <w:p w:rsidR="0084282C" w:rsidRPr="00D414AC" w:rsidRDefault="00086FEC" w:rsidP="00E60615">
      <w:pPr>
        <w:pStyle w:val="Default"/>
        <w:numPr>
          <w:ilvl w:val="0"/>
          <w:numId w:val="6"/>
        </w:numPr>
        <w:ind w:left="357" w:hanging="357"/>
        <w:jc w:val="both"/>
        <w:rPr>
          <w:b/>
          <w:i/>
        </w:rPr>
      </w:pPr>
      <w:r>
        <w:t>T</w:t>
      </w:r>
      <w:r w:rsidR="0084282C" w:rsidRPr="00086FEC">
        <w:t>abulk</w:t>
      </w:r>
      <w:r w:rsidR="00D414AC" w:rsidRPr="00086FEC">
        <w:t>a</w:t>
      </w:r>
      <w:r w:rsidR="0084282C" w:rsidRPr="00086FEC">
        <w:t xml:space="preserve"> vyúčtování </w:t>
      </w:r>
      <w:r w:rsidR="00196F7D" w:rsidRPr="00086FEC">
        <w:t>dotace</w:t>
      </w:r>
      <w:r w:rsidR="0084282C" w:rsidRPr="00086FEC">
        <w:t xml:space="preserve"> (příloha rozhodnutí o poskytnutí </w:t>
      </w:r>
      <w:r w:rsidR="00196F7D" w:rsidRPr="00086FEC">
        <w:t>dotace</w:t>
      </w:r>
      <w:r w:rsidR="0084282C" w:rsidRPr="00086FEC">
        <w:t xml:space="preserve">). </w:t>
      </w:r>
      <w:r w:rsidR="0084282C" w:rsidRPr="00086FEC">
        <w:rPr>
          <w:i/>
        </w:rPr>
        <w:t>P</w:t>
      </w:r>
      <w:r w:rsidR="0084282C" w:rsidRPr="00D414AC">
        <w:rPr>
          <w:i/>
        </w:rPr>
        <w:t>okud byl</w:t>
      </w:r>
      <w:r w:rsidR="00196F7D" w:rsidRPr="00D414AC">
        <w:rPr>
          <w:i/>
        </w:rPr>
        <w:t>a</w:t>
      </w:r>
      <w:r w:rsidR="0084282C" w:rsidRPr="00D414AC">
        <w:rPr>
          <w:i/>
        </w:rPr>
        <w:t xml:space="preserve"> poskytnut</w:t>
      </w:r>
      <w:r w:rsidR="00196F7D" w:rsidRPr="00D414AC">
        <w:rPr>
          <w:i/>
        </w:rPr>
        <w:t>a</w:t>
      </w:r>
      <w:r w:rsidR="0084282C" w:rsidRPr="00D414AC">
        <w:rPr>
          <w:i/>
        </w:rPr>
        <w:t xml:space="preserve"> </w:t>
      </w:r>
      <w:r w:rsidR="00196F7D" w:rsidRPr="00D414AC">
        <w:rPr>
          <w:i/>
        </w:rPr>
        <w:t>dotace</w:t>
      </w:r>
      <w:r w:rsidR="0084282C" w:rsidRPr="00D414AC">
        <w:rPr>
          <w:i/>
        </w:rPr>
        <w:t xml:space="preserve"> plátci DPH, </w:t>
      </w:r>
      <w:r w:rsidR="00196F7D" w:rsidRPr="00D414AC">
        <w:rPr>
          <w:i/>
        </w:rPr>
        <w:t>tedy</w:t>
      </w:r>
      <w:r w:rsidR="0084282C" w:rsidRPr="00D414AC">
        <w:rPr>
          <w:i/>
        </w:rPr>
        <w:t xml:space="preserve"> z nákladů bez DPH, je nutné také vyúčtovat v část</w:t>
      </w:r>
      <w:r w:rsidR="00196F7D" w:rsidRPr="00D414AC">
        <w:rPr>
          <w:i/>
        </w:rPr>
        <w:t>kách</w:t>
      </w:r>
      <w:r w:rsidR="0084282C" w:rsidRPr="00D414AC">
        <w:rPr>
          <w:i/>
        </w:rPr>
        <w:t xml:space="preserve"> bez DPH;</w:t>
      </w:r>
    </w:p>
    <w:p w:rsidR="0084282C" w:rsidRPr="00DE7AF9" w:rsidRDefault="00086FEC" w:rsidP="00E60615">
      <w:pPr>
        <w:pStyle w:val="Default"/>
        <w:numPr>
          <w:ilvl w:val="0"/>
          <w:numId w:val="6"/>
        </w:numPr>
        <w:ind w:left="357" w:hanging="357"/>
        <w:jc w:val="both"/>
      </w:pPr>
      <w:r>
        <w:t>F</w:t>
      </w:r>
      <w:r w:rsidR="0084282C" w:rsidRPr="00DE7AF9">
        <w:t>aktur</w:t>
      </w:r>
      <w:r>
        <w:t>y</w:t>
      </w:r>
      <w:r w:rsidR="0084282C" w:rsidRPr="00DE7AF9">
        <w:t>;</w:t>
      </w:r>
    </w:p>
    <w:p w:rsidR="0084282C" w:rsidRPr="00DE7AF9" w:rsidRDefault="00086FEC" w:rsidP="00E60615">
      <w:pPr>
        <w:pStyle w:val="Default"/>
        <w:numPr>
          <w:ilvl w:val="0"/>
          <w:numId w:val="6"/>
        </w:numPr>
        <w:ind w:left="357" w:hanging="357"/>
        <w:jc w:val="both"/>
      </w:pPr>
      <w:r>
        <w:lastRenderedPageBreak/>
        <w:t>S</w:t>
      </w:r>
      <w:r w:rsidR="0084282C" w:rsidRPr="00DE7AF9">
        <w:t>oupisy provedených prací k jednotlivým fakturám;</w:t>
      </w:r>
    </w:p>
    <w:p w:rsidR="0084282C" w:rsidRPr="00DE7AF9" w:rsidRDefault="00086FEC" w:rsidP="00E60615">
      <w:pPr>
        <w:pStyle w:val="Default"/>
        <w:numPr>
          <w:ilvl w:val="0"/>
          <w:numId w:val="6"/>
        </w:numPr>
        <w:ind w:left="357" w:hanging="357"/>
        <w:jc w:val="both"/>
      </w:pPr>
      <w:r>
        <w:t>V</w:t>
      </w:r>
      <w:r w:rsidR="0084282C" w:rsidRPr="00DE7AF9">
        <w:t>ýpisy z účtů k jednotlivým fakturám;</w:t>
      </w:r>
    </w:p>
    <w:p w:rsidR="00196F7D" w:rsidRPr="00DE7AF9" w:rsidRDefault="00086FEC" w:rsidP="00E60615">
      <w:pPr>
        <w:pStyle w:val="Default"/>
        <w:numPr>
          <w:ilvl w:val="0"/>
          <w:numId w:val="6"/>
        </w:numPr>
        <w:ind w:left="357" w:hanging="357"/>
        <w:jc w:val="both"/>
        <w:rPr>
          <w:color w:val="auto"/>
        </w:rPr>
      </w:pPr>
      <w:r>
        <w:rPr>
          <w:color w:val="auto"/>
        </w:rPr>
        <w:t>Z</w:t>
      </w:r>
      <w:r w:rsidR="000F4EF2" w:rsidRPr="00DE7AF9">
        <w:rPr>
          <w:color w:val="auto"/>
        </w:rPr>
        <w:t>ávěrečná zpráva (podává se v každém roce poskytnutí dotace)</w:t>
      </w:r>
      <w:r w:rsidR="0074657D">
        <w:rPr>
          <w:color w:val="auto"/>
        </w:rPr>
        <w:t>, která obsahuje</w:t>
      </w:r>
      <w:r w:rsidR="000F4EF2" w:rsidRPr="00DE7AF9">
        <w:rPr>
          <w:color w:val="auto"/>
        </w:rPr>
        <w:t xml:space="preserve">: </w:t>
      </w:r>
    </w:p>
    <w:p w:rsidR="000F4EF2" w:rsidRPr="00DE7AF9" w:rsidRDefault="000F4EF2" w:rsidP="00E60615">
      <w:pPr>
        <w:pStyle w:val="Default"/>
        <w:ind w:left="720"/>
        <w:jc w:val="both"/>
      </w:pPr>
      <w:r w:rsidRPr="00DE7AF9">
        <w:t xml:space="preserve">• </w:t>
      </w:r>
      <w:r w:rsidR="00086FEC">
        <w:t>P</w:t>
      </w:r>
      <w:r w:rsidRPr="00DE7AF9">
        <w:t>opis realizace plánu ochrany</w:t>
      </w:r>
      <w:r w:rsidR="00086FEC">
        <w:t>;</w:t>
      </w:r>
      <w:r w:rsidRPr="00DE7AF9">
        <w:t xml:space="preserve"> </w:t>
      </w:r>
    </w:p>
    <w:p w:rsidR="000F4EF2" w:rsidRPr="00DE7AF9" w:rsidRDefault="000F4EF2" w:rsidP="00E60615">
      <w:pPr>
        <w:pStyle w:val="Default"/>
        <w:ind w:left="720"/>
        <w:jc w:val="both"/>
      </w:pPr>
      <w:r w:rsidRPr="00DE7AF9">
        <w:t xml:space="preserve">• </w:t>
      </w:r>
      <w:r w:rsidR="00086FEC">
        <w:t>Z</w:t>
      </w:r>
      <w:r w:rsidRPr="00DE7AF9">
        <w:t>hodnocení realizace plánu ochrany, zdůvodnění změn oproti žádosti, nevyužití celkového objemu peněz apod.</w:t>
      </w:r>
      <w:r w:rsidR="00086FEC">
        <w:t>;</w:t>
      </w:r>
    </w:p>
    <w:p w:rsidR="000F4EF2" w:rsidRPr="00DE7AF9" w:rsidRDefault="000F4EF2" w:rsidP="00E60615">
      <w:pPr>
        <w:pStyle w:val="Default"/>
        <w:ind w:left="720"/>
        <w:jc w:val="both"/>
      </w:pPr>
      <w:r w:rsidRPr="00DE7AF9">
        <w:t xml:space="preserve">• </w:t>
      </w:r>
      <w:r w:rsidR="00086FEC">
        <w:t>D</w:t>
      </w:r>
      <w:r w:rsidRPr="00DE7AF9">
        <w:t>okumentac</w:t>
      </w:r>
      <w:r w:rsidR="0074657D">
        <w:t>i</w:t>
      </w:r>
      <w:r w:rsidRPr="00DE7AF9">
        <w:t xml:space="preserve"> realizace plánu ochrany (např. zápis z jednání apod.)</w:t>
      </w:r>
      <w:r w:rsidR="00DA6599">
        <w:t>;</w:t>
      </w:r>
      <w:r w:rsidRPr="00DE7AF9">
        <w:t xml:space="preserve"> </w:t>
      </w:r>
    </w:p>
    <w:p w:rsidR="000F4EF2" w:rsidRPr="007E04F8" w:rsidRDefault="000F4EF2" w:rsidP="00E60615">
      <w:pPr>
        <w:pStyle w:val="Default"/>
        <w:ind w:left="720"/>
        <w:jc w:val="both"/>
        <w:rPr>
          <w:color w:val="auto"/>
        </w:rPr>
      </w:pPr>
      <w:r w:rsidRPr="007E04F8">
        <w:rPr>
          <w:color w:val="auto"/>
        </w:rPr>
        <w:t xml:space="preserve">• </w:t>
      </w:r>
      <w:r w:rsidR="00DA6599">
        <w:rPr>
          <w:color w:val="auto"/>
        </w:rPr>
        <w:t>V</w:t>
      </w:r>
      <w:r w:rsidR="00EC3CEC" w:rsidRPr="00A14BB5">
        <w:t>ýstup z</w:t>
      </w:r>
      <w:r w:rsidR="0074657D">
        <w:t xml:space="preserve"> plánu </w:t>
      </w:r>
      <w:proofErr w:type="gramStart"/>
      <w:r w:rsidR="0074657D">
        <w:t>ochrany</w:t>
      </w:r>
      <w:r w:rsidR="00EC3CEC" w:rsidRPr="00A14BB5">
        <w:t xml:space="preserve"> </w:t>
      </w:r>
      <w:r w:rsidR="0074657D">
        <w:t xml:space="preserve">- </w:t>
      </w:r>
      <w:r w:rsidR="00EC3CEC" w:rsidRPr="00A14BB5">
        <w:t>elektronická</w:t>
      </w:r>
      <w:proofErr w:type="gramEnd"/>
      <w:r w:rsidR="00EC3CEC" w:rsidRPr="00A14BB5">
        <w:t xml:space="preserve"> verze</w:t>
      </w:r>
      <w:r w:rsidR="00D414AC">
        <w:t xml:space="preserve"> (textová a mapová část)</w:t>
      </w:r>
      <w:r w:rsidRPr="007E04F8">
        <w:rPr>
          <w:color w:val="auto"/>
        </w:rPr>
        <w:t xml:space="preserve">. </w:t>
      </w:r>
    </w:p>
    <w:bookmarkEnd w:id="18"/>
    <w:p w:rsidR="00DE7AF9" w:rsidRDefault="00DE7AF9" w:rsidP="00E60615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E7EE3" w:rsidRPr="003B2CEF" w:rsidRDefault="00A1301E" w:rsidP="00E60615">
      <w:pPr>
        <w:pStyle w:val="Default"/>
        <w:jc w:val="both"/>
        <w:rPr>
          <w:bCs/>
          <w:color w:val="auto"/>
        </w:rPr>
      </w:pPr>
      <w:bookmarkStart w:id="19" w:name="_Hlk151531991"/>
      <w:r w:rsidRPr="003B2CEF">
        <w:rPr>
          <w:bCs/>
          <w:color w:val="auto"/>
        </w:rPr>
        <w:t>V</w:t>
      </w:r>
      <w:r w:rsidR="003B2CEF">
        <w:rPr>
          <w:bCs/>
          <w:color w:val="auto"/>
        </w:rPr>
        <w:t xml:space="preserve">rácení části nebo celé dotace Ministerstvu kultury: </w:t>
      </w:r>
    </w:p>
    <w:p w:rsidR="003C119A" w:rsidRPr="003B2CEF" w:rsidRDefault="003C119A" w:rsidP="003B2CEF">
      <w:pPr>
        <w:pStyle w:val="Odstavecseseznamem"/>
        <w:numPr>
          <w:ilvl w:val="0"/>
          <w:numId w:val="11"/>
        </w:numPr>
        <w:spacing w:line="240" w:lineRule="auto"/>
        <w:ind w:left="357" w:hanging="357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3B2CEF">
        <w:rPr>
          <w:rFonts w:eastAsia="Times New Roman" w:cs="Times New Roman"/>
          <w:szCs w:val="24"/>
          <w:lang w:eastAsia="cs-CZ"/>
        </w:rPr>
        <w:t xml:space="preserve">Nevyčerpanou část </w:t>
      </w:r>
      <w:r w:rsidR="00196F7D" w:rsidRPr="003B2CEF">
        <w:rPr>
          <w:rFonts w:eastAsia="Times New Roman" w:cs="Times New Roman"/>
          <w:szCs w:val="24"/>
          <w:lang w:eastAsia="cs-CZ"/>
        </w:rPr>
        <w:t>dotace</w:t>
      </w:r>
      <w:r w:rsidRPr="003B2CEF">
        <w:rPr>
          <w:rFonts w:eastAsia="Times New Roman" w:cs="Times New Roman"/>
          <w:szCs w:val="24"/>
          <w:lang w:eastAsia="cs-CZ"/>
        </w:rPr>
        <w:t xml:space="preserve"> anebo cel</w:t>
      </w:r>
      <w:r w:rsidR="00196F7D" w:rsidRPr="003B2CEF">
        <w:rPr>
          <w:rFonts w:eastAsia="Times New Roman" w:cs="Times New Roman"/>
          <w:szCs w:val="24"/>
          <w:lang w:eastAsia="cs-CZ"/>
        </w:rPr>
        <w:t>ou dotaci</w:t>
      </w:r>
      <w:r w:rsidRPr="003B2CEF">
        <w:rPr>
          <w:rFonts w:eastAsia="Times New Roman" w:cs="Times New Roman"/>
          <w:szCs w:val="24"/>
          <w:lang w:eastAsia="cs-CZ"/>
        </w:rPr>
        <w:t xml:space="preserve"> v případě, že se akce neuskuteční, je příjemce povinen vrátit </w:t>
      </w:r>
      <w:r w:rsidRPr="003B2CEF">
        <w:rPr>
          <w:rFonts w:eastAsia="Times New Roman" w:cs="Times New Roman"/>
          <w:b/>
          <w:szCs w:val="24"/>
          <w:lang w:eastAsia="cs-CZ"/>
        </w:rPr>
        <w:t>neodkladně</w:t>
      </w:r>
      <w:r w:rsidRPr="003B2CEF">
        <w:rPr>
          <w:rFonts w:eastAsia="Times New Roman" w:cs="Times New Roman"/>
          <w:szCs w:val="24"/>
          <w:lang w:eastAsia="cs-CZ"/>
        </w:rPr>
        <w:t xml:space="preserve"> Ministerstvu kultury. </w:t>
      </w:r>
    </w:p>
    <w:p w:rsidR="00820FCB" w:rsidRPr="003B2CEF" w:rsidRDefault="00820FCB" w:rsidP="003B2CEF">
      <w:pPr>
        <w:pStyle w:val="Odstavecseseznamem"/>
        <w:numPr>
          <w:ilvl w:val="0"/>
          <w:numId w:val="11"/>
        </w:numPr>
        <w:spacing w:line="240" w:lineRule="auto"/>
        <w:ind w:left="357" w:hanging="357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3B2CEF">
        <w:rPr>
          <w:rFonts w:eastAsia="Times New Roman" w:cs="Times New Roman"/>
          <w:szCs w:val="24"/>
          <w:lang w:eastAsia="cs-CZ"/>
        </w:rPr>
        <w:t xml:space="preserve">Pokud vrací příjemce </w:t>
      </w:r>
      <w:r w:rsidR="00196F7D" w:rsidRPr="003B2CEF">
        <w:rPr>
          <w:rFonts w:eastAsia="Times New Roman" w:cs="Times New Roman"/>
          <w:szCs w:val="24"/>
          <w:lang w:eastAsia="cs-CZ"/>
        </w:rPr>
        <w:t xml:space="preserve">dotaci </w:t>
      </w:r>
      <w:r w:rsidRPr="003B2CEF">
        <w:rPr>
          <w:rFonts w:eastAsia="Times New Roman" w:cs="Times New Roman"/>
          <w:szCs w:val="24"/>
          <w:lang w:eastAsia="cs-CZ"/>
        </w:rPr>
        <w:t>nebo je</w:t>
      </w:r>
      <w:r w:rsidR="00196F7D" w:rsidRPr="003B2CEF">
        <w:rPr>
          <w:rFonts w:eastAsia="Times New Roman" w:cs="Times New Roman"/>
          <w:szCs w:val="24"/>
          <w:lang w:eastAsia="cs-CZ"/>
        </w:rPr>
        <w:t>jí</w:t>
      </w:r>
      <w:r w:rsidRPr="003B2CEF">
        <w:rPr>
          <w:rFonts w:eastAsia="Times New Roman" w:cs="Times New Roman"/>
          <w:szCs w:val="24"/>
          <w:lang w:eastAsia="cs-CZ"/>
        </w:rPr>
        <w:t xml:space="preserve"> část Ministerstvu kultury </w:t>
      </w:r>
      <w:r w:rsidRPr="003B2CEF">
        <w:rPr>
          <w:rFonts w:eastAsia="Times New Roman" w:cs="Times New Roman"/>
          <w:b/>
          <w:szCs w:val="24"/>
          <w:lang w:eastAsia="cs-CZ"/>
        </w:rPr>
        <w:t>v průběhu roku 202</w:t>
      </w:r>
      <w:r w:rsidR="008F0FDE" w:rsidRPr="003B2CEF">
        <w:rPr>
          <w:rFonts w:eastAsia="Times New Roman" w:cs="Times New Roman"/>
          <w:b/>
          <w:szCs w:val="24"/>
          <w:lang w:eastAsia="cs-CZ"/>
        </w:rPr>
        <w:t>6</w:t>
      </w:r>
      <w:r w:rsidRPr="003B2CEF">
        <w:rPr>
          <w:rFonts w:eastAsia="Times New Roman" w:cs="Times New Roman"/>
          <w:szCs w:val="24"/>
          <w:lang w:eastAsia="cs-CZ"/>
        </w:rPr>
        <w:t xml:space="preserve">, </w:t>
      </w:r>
      <w:r w:rsidRPr="003B2CEF">
        <w:rPr>
          <w:rFonts w:eastAsia="Times New Roman" w:cs="Times New Roman"/>
          <w:b/>
          <w:szCs w:val="24"/>
          <w:lang w:eastAsia="cs-CZ"/>
        </w:rPr>
        <w:t>vrací j</w:t>
      </w:r>
      <w:r w:rsidR="00B469B1" w:rsidRPr="003B2CEF">
        <w:rPr>
          <w:rFonts w:eastAsia="Times New Roman" w:cs="Times New Roman"/>
          <w:b/>
          <w:szCs w:val="24"/>
          <w:lang w:eastAsia="cs-CZ"/>
        </w:rPr>
        <w:t>i</w:t>
      </w:r>
      <w:r w:rsidRPr="003B2CEF">
        <w:rPr>
          <w:rFonts w:eastAsia="Times New Roman" w:cs="Times New Roman"/>
          <w:b/>
          <w:szCs w:val="24"/>
          <w:lang w:eastAsia="cs-CZ"/>
        </w:rPr>
        <w:t xml:space="preserve"> na účet Ministerstva kultury, z něhož byl</w:t>
      </w:r>
      <w:r w:rsidR="00AC564D" w:rsidRPr="003B2CEF">
        <w:rPr>
          <w:rFonts w:eastAsia="Times New Roman" w:cs="Times New Roman"/>
          <w:b/>
          <w:szCs w:val="24"/>
          <w:lang w:eastAsia="cs-CZ"/>
        </w:rPr>
        <w:t>a</w:t>
      </w:r>
      <w:r w:rsidRPr="003B2CEF">
        <w:rPr>
          <w:rFonts w:eastAsia="Times New Roman" w:cs="Times New Roman"/>
          <w:b/>
          <w:szCs w:val="24"/>
          <w:lang w:eastAsia="cs-CZ"/>
        </w:rPr>
        <w:t xml:space="preserve"> </w:t>
      </w:r>
      <w:r w:rsidR="00AC564D" w:rsidRPr="003B2CEF">
        <w:rPr>
          <w:rFonts w:eastAsia="Times New Roman" w:cs="Times New Roman"/>
          <w:b/>
          <w:szCs w:val="24"/>
          <w:lang w:eastAsia="cs-CZ"/>
        </w:rPr>
        <w:t>dotace</w:t>
      </w:r>
      <w:r w:rsidRPr="003B2CEF">
        <w:rPr>
          <w:rFonts w:eastAsia="Times New Roman" w:cs="Times New Roman"/>
          <w:b/>
          <w:szCs w:val="24"/>
          <w:lang w:eastAsia="cs-CZ"/>
        </w:rPr>
        <w:t xml:space="preserve"> poskytnut</w:t>
      </w:r>
      <w:r w:rsidR="00AC564D" w:rsidRPr="003B2CEF">
        <w:rPr>
          <w:rFonts w:eastAsia="Times New Roman" w:cs="Times New Roman"/>
          <w:b/>
          <w:szCs w:val="24"/>
          <w:lang w:eastAsia="cs-CZ"/>
        </w:rPr>
        <w:t>a</w:t>
      </w:r>
      <w:r w:rsidRPr="003B2CEF">
        <w:rPr>
          <w:rFonts w:eastAsia="Times New Roman" w:cs="Times New Roman"/>
          <w:b/>
          <w:szCs w:val="24"/>
          <w:lang w:eastAsia="cs-CZ"/>
        </w:rPr>
        <w:t xml:space="preserve"> č. 3424001/0710</w:t>
      </w:r>
      <w:r w:rsidRPr="003B2CEF">
        <w:rPr>
          <w:rFonts w:eastAsia="Times New Roman" w:cs="Times New Roman"/>
          <w:szCs w:val="24"/>
          <w:lang w:eastAsia="cs-CZ"/>
        </w:rPr>
        <w:t xml:space="preserve">. </w:t>
      </w:r>
      <w:bookmarkStart w:id="20" w:name="_Hlk147328969"/>
      <w:r w:rsidRPr="003B2CEF">
        <w:rPr>
          <w:rFonts w:eastAsia="Times New Roman" w:cs="Times New Roman"/>
          <w:szCs w:val="24"/>
          <w:lang w:eastAsia="cs-CZ"/>
        </w:rPr>
        <w:t xml:space="preserve">Vrácená částka bude označena daným </w:t>
      </w:r>
      <w:r w:rsidRPr="003B2CEF">
        <w:rPr>
          <w:rFonts w:eastAsia="Times New Roman" w:cs="Times New Roman"/>
          <w:b/>
          <w:szCs w:val="24"/>
          <w:lang w:eastAsia="cs-CZ"/>
        </w:rPr>
        <w:t>variabilním symbolem,</w:t>
      </w:r>
      <w:r w:rsidRPr="003B2CEF">
        <w:rPr>
          <w:bCs/>
          <w:szCs w:val="24"/>
        </w:rPr>
        <w:t xml:space="preserve"> který je uveden v podmínkách rozhodnutí Ministerstva kultury</w:t>
      </w:r>
      <w:bookmarkStart w:id="21" w:name="_Hlk133229354"/>
      <w:r w:rsidR="00196F7D" w:rsidRPr="003B2CEF">
        <w:rPr>
          <w:bCs/>
          <w:szCs w:val="24"/>
        </w:rPr>
        <w:t xml:space="preserve">. </w:t>
      </w:r>
      <w:r w:rsidRPr="003B2CEF">
        <w:rPr>
          <w:rFonts w:eastAsia="Times New Roman" w:cs="Times New Roman"/>
          <w:szCs w:val="24"/>
          <w:lang w:eastAsia="cs-CZ"/>
        </w:rPr>
        <w:t xml:space="preserve">O této skutečnosti příjemce vyrozumí Ministerstvo kultury. </w:t>
      </w:r>
      <w:bookmarkEnd w:id="21"/>
      <w:bookmarkEnd w:id="20"/>
    </w:p>
    <w:p w:rsidR="00086FEC" w:rsidRPr="003B2CEF" w:rsidRDefault="00820FCB" w:rsidP="003B2CEF">
      <w:pPr>
        <w:pStyle w:val="Odstavecseseznamem"/>
        <w:numPr>
          <w:ilvl w:val="0"/>
          <w:numId w:val="11"/>
        </w:numPr>
        <w:spacing w:line="240" w:lineRule="auto"/>
        <w:ind w:left="357" w:hanging="357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3B2CEF">
        <w:rPr>
          <w:rFonts w:eastAsia="Times New Roman" w:cs="Times New Roman"/>
          <w:szCs w:val="24"/>
          <w:lang w:eastAsia="cs-CZ"/>
        </w:rPr>
        <w:t xml:space="preserve">Pokud vrací příjemce </w:t>
      </w:r>
      <w:r w:rsidR="00196F7D" w:rsidRPr="003B2CEF">
        <w:rPr>
          <w:rFonts w:eastAsia="Times New Roman" w:cs="Times New Roman"/>
          <w:szCs w:val="24"/>
          <w:lang w:eastAsia="cs-CZ"/>
        </w:rPr>
        <w:t>dotaci</w:t>
      </w:r>
      <w:r w:rsidRPr="003B2CEF">
        <w:rPr>
          <w:rFonts w:eastAsia="Times New Roman" w:cs="Times New Roman"/>
          <w:szCs w:val="24"/>
          <w:lang w:eastAsia="cs-CZ"/>
        </w:rPr>
        <w:t xml:space="preserve"> nebo je</w:t>
      </w:r>
      <w:r w:rsidR="00196F7D" w:rsidRPr="003B2CEF">
        <w:rPr>
          <w:rFonts w:eastAsia="Times New Roman" w:cs="Times New Roman"/>
          <w:szCs w:val="24"/>
          <w:lang w:eastAsia="cs-CZ"/>
        </w:rPr>
        <w:t>jí</w:t>
      </w:r>
      <w:r w:rsidRPr="003B2CEF">
        <w:rPr>
          <w:rFonts w:eastAsia="Times New Roman" w:cs="Times New Roman"/>
          <w:szCs w:val="24"/>
          <w:lang w:eastAsia="cs-CZ"/>
        </w:rPr>
        <w:t xml:space="preserve"> část Ministerstvu kultury </w:t>
      </w:r>
      <w:r w:rsidRPr="003B2CEF">
        <w:rPr>
          <w:rFonts w:eastAsia="Times New Roman" w:cs="Times New Roman"/>
          <w:b/>
          <w:szCs w:val="24"/>
          <w:lang w:eastAsia="cs-CZ"/>
        </w:rPr>
        <w:t>až v období po 1. 1. 202</w:t>
      </w:r>
      <w:r w:rsidR="008F0FDE" w:rsidRPr="003B2CEF">
        <w:rPr>
          <w:rFonts w:eastAsia="Times New Roman" w:cs="Times New Roman"/>
          <w:b/>
          <w:szCs w:val="24"/>
          <w:lang w:eastAsia="cs-CZ"/>
        </w:rPr>
        <w:t>7</w:t>
      </w:r>
      <w:r w:rsidRPr="003B2CEF">
        <w:rPr>
          <w:rFonts w:eastAsia="Times New Roman" w:cs="Times New Roman"/>
          <w:szCs w:val="24"/>
          <w:lang w:eastAsia="cs-CZ"/>
        </w:rPr>
        <w:t>, je povinen vrátit j</w:t>
      </w:r>
      <w:r w:rsidR="00AC564D" w:rsidRPr="003B2CEF">
        <w:rPr>
          <w:rFonts w:eastAsia="Times New Roman" w:cs="Times New Roman"/>
          <w:szCs w:val="24"/>
          <w:lang w:eastAsia="cs-CZ"/>
        </w:rPr>
        <w:t>i</w:t>
      </w:r>
      <w:r w:rsidRPr="003B2CEF">
        <w:rPr>
          <w:rFonts w:eastAsia="Times New Roman" w:cs="Times New Roman"/>
          <w:szCs w:val="24"/>
          <w:lang w:eastAsia="cs-CZ"/>
        </w:rPr>
        <w:t xml:space="preserve"> nejpozději do </w:t>
      </w:r>
      <w:r w:rsidRPr="003B2CEF">
        <w:rPr>
          <w:rFonts w:eastAsia="Times New Roman" w:cs="Times New Roman"/>
          <w:b/>
          <w:szCs w:val="24"/>
          <w:lang w:eastAsia="cs-CZ"/>
        </w:rPr>
        <w:t>15. února 202</w:t>
      </w:r>
      <w:r w:rsidR="008F0FDE" w:rsidRPr="003B2CEF">
        <w:rPr>
          <w:rFonts w:eastAsia="Times New Roman" w:cs="Times New Roman"/>
          <w:b/>
          <w:szCs w:val="24"/>
          <w:lang w:eastAsia="cs-CZ"/>
        </w:rPr>
        <w:t>7</w:t>
      </w:r>
      <w:r w:rsidRPr="003B2CEF">
        <w:rPr>
          <w:rFonts w:eastAsia="Times New Roman" w:cs="Times New Roman"/>
          <w:szCs w:val="24"/>
          <w:lang w:eastAsia="cs-CZ"/>
        </w:rPr>
        <w:t xml:space="preserve"> </w:t>
      </w:r>
      <w:r w:rsidRPr="003B2CEF">
        <w:rPr>
          <w:rFonts w:eastAsia="Times New Roman" w:cs="Times New Roman"/>
          <w:b/>
          <w:szCs w:val="24"/>
          <w:lang w:eastAsia="cs-CZ"/>
        </w:rPr>
        <w:t>na depozitní účet Ministerstva kultury č.</w:t>
      </w:r>
      <w:r w:rsidR="00AB306D" w:rsidRPr="003B2CEF">
        <w:rPr>
          <w:rFonts w:eastAsia="Times New Roman" w:cs="Times New Roman"/>
          <w:b/>
          <w:szCs w:val="24"/>
          <w:lang w:eastAsia="cs-CZ"/>
        </w:rPr>
        <w:t> </w:t>
      </w:r>
      <w:r w:rsidRPr="003B2CEF">
        <w:rPr>
          <w:rFonts w:eastAsia="Times New Roman" w:cs="Times New Roman"/>
          <w:b/>
          <w:szCs w:val="24"/>
          <w:lang w:eastAsia="cs-CZ"/>
        </w:rPr>
        <w:t>6015-3424001/0710</w:t>
      </w:r>
      <w:r w:rsidRPr="003B2CEF">
        <w:rPr>
          <w:rFonts w:eastAsia="Times New Roman" w:cs="Times New Roman"/>
          <w:szCs w:val="24"/>
          <w:lang w:eastAsia="cs-CZ"/>
        </w:rPr>
        <w:t xml:space="preserve">. Vrácená částka bude označena daným </w:t>
      </w:r>
      <w:r w:rsidRPr="003B2CEF">
        <w:rPr>
          <w:rFonts w:eastAsia="Times New Roman" w:cs="Times New Roman"/>
          <w:b/>
          <w:szCs w:val="24"/>
          <w:lang w:eastAsia="cs-CZ"/>
        </w:rPr>
        <w:t>variabilním symbolem,</w:t>
      </w:r>
      <w:r w:rsidRPr="003B2CEF">
        <w:rPr>
          <w:bCs/>
          <w:szCs w:val="24"/>
        </w:rPr>
        <w:t xml:space="preserve"> který je uveden v podmínkách rozhodnutí Ministerstva kultury</w:t>
      </w:r>
      <w:r w:rsidR="00196F7D" w:rsidRPr="003B2CEF">
        <w:rPr>
          <w:bCs/>
          <w:szCs w:val="24"/>
        </w:rPr>
        <w:t xml:space="preserve">. </w:t>
      </w:r>
      <w:r w:rsidRPr="003B2CEF">
        <w:rPr>
          <w:rFonts w:eastAsia="Times New Roman" w:cs="Times New Roman"/>
          <w:szCs w:val="24"/>
          <w:lang w:eastAsia="cs-CZ"/>
        </w:rPr>
        <w:t>O této skutečnosti příjemce vyrozumí Ministerstvo kultury.</w:t>
      </w:r>
      <w:bookmarkEnd w:id="19"/>
    </w:p>
    <w:p w:rsidR="00E77B5F" w:rsidRPr="00090BB1" w:rsidRDefault="00E77B5F" w:rsidP="00090BB1">
      <w:pPr>
        <w:spacing w:after="80" w:line="240" w:lineRule="auto"/>
        <w:contextualSpacing w:val="0"/>
        <w:jc w:val="both"/>
        <w:rPr>
          <w:rFonts w:eastAsia="Times New Roman" w:cs="Times New Roman"/>
          <w:szCs w:val="24"/>
          <w:lang w:eastAsia="cs-CZ"/>
        </w:rPr>
      </w:pPr>
    </w:p>
    <w:p w:rsidR="008C44D3" w:rsidRDefault="008C44D3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Část XIII.</w:t>
      </w:r>
    </w:p>
    <w:p w:rsidR="008C44D3" w:rsidRDefault="008C44D3" w:rsidP="00E606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Ostatní ustanovení </w:t>
      </w:r>
    </w:p>
    <w:p w:rsidR="009705C6" w:rsidRPr="008C44D3" w:rsidRDefault="009705C6" w:rsidP="00E60615">
      <w:pPr>
        <w:pStyle w:val="Default"/>
        <w:jc w:val="both"/>
        <w:rPr>
          <w:b/>
          <w:bCs/>
          <w:color w:val="auto"/>
          <w:sz w:val="16"/>
          <w:szCs w:val="16"/>
        </w:rPr>
      </w:pPr>
    </w:p>
    <w:p w:rsidR="00D51478" w:rsidRPr="00E60615" w:rsidRDefault="00D51478" w:rsidP="003B2CEF">
      <w:pPr>
        <w:pStyle w:val="Default"/>
        <w:numPr>
          <w:ilvl w:val="0"/>
          <w:numId w:val="12"/>
        </w:numPr>
        <w:ind w:left="357" w:hanging="357"/>
        <w:jc w:val="both"/>
        <w:rPr>
          <w:bCs/>
          <w:color w:val="auto"/>
        </w:rPr>
      </w:pPr>
      <w:r w:rsidRPr="00E60615">
        <w:rPr>
          <w:bCs/>
          <w:color w:val="auto"/>
        </w:rPr>
        <w:t>Na dotaci není právní nárok. Výše dotace je závislá na výši státního rozpočtu České republiky a množství podaných žádostí do Programu regenerace městských památkových rezervací a</w:t>
      </w:r>
      <w:r w:rsidR="009E3713" w:rsidRPr="00E60615">
        <w:rPr>
          <w:bCs/>
          <w:color w:val="auto"/>
        </w:rPr>
        <w:t> </w:t>
      </w:r>
      <w:r w:rsidRPr="00E60615">
        <w:rPr>
          <w:bCs/>
          <w:color w:val="auto"/>
        </w:rPr>
        <w:t>městských památkových zón</w:t>
      </w:r>
      <w:r w:rsidR="00B469B1" w:rsidRPr="00E60615">
        <w:rPr>
          <w:bCs/>
          <w:color w:val="auto"/>
        </w:rPr>
        <w:t xml:space="preserve"> na pořízení plánu ochrany</w:t>
      </w:r>
      <w:r w:rsidRPr="00E60615">
        <w:rPr>
          <w:bCs/>
          <w:color w:val="auto"/>
        </w:rPr>
        <w:t xml:space="preserve">. </w:t>
      </w:r>
    </w:p>
    <w:p w:rsidR="00D51478" w:rsidRPr="00E60615" w:rsidRDefault="00D51478" w:rsidP="003B2CEF">
      <w:pPr>
        <w:pStyle w:val="Default"/>
        <w:numPr>
          <w:ilvl w:val="0"/>
          <w:numId w:val="12"/>
        </w:numPr>
        <w:ind w:left="357" w:hanging="357"/>
        <w:jc w:val="both"/>
        <w:rPr>
          <w:color w:val="auto"/>
        </w:rPr>
      </w:pPr>
      <w:bookmarkStart w:id="22" w:name="_Hlk151532191"/>
      <w:r w:rsidRPr="00E60615">
        <w:rPr>
          <w:color w:val="auto"/>
        </w:rPr>
        <w:t xml:space="preserve">Ministerstvo kultury upozorňuje, že na základě žádosti podané mimo termín a v rozporu se Zásadami programu není možné poskytnout dotaci. </w:t>
      </w:r>
    </w:p>
    <w:p w:rsidR="00984B96" w:rsidRPr="003B2CEF" w:rsidRDefault="00420FBB" w:rsidP="003B2CEF">
      <w:pPr>
        <w:pStyle w:val="Odstavecseseznamem"/>
        <w:widowControl w:val="0"/>
        <w:numPr>
          <w:ilvl w:val="0"/>
          <w:numId w:val="12"/>
        </w:numPr>
        <w:spacing w:line="240" w:lineRule="auto"/>
        <w:ind w:left="357" w:hanging="357"/>
        <w:contextualSpacing w:val="0"/>
        <w:jc w:val="both"/>
        <w:rPr>
          <w:rFonts w:eastAsia="Times New Roman" w:cs="Times New Roman"/>
          <w:szCs w:val="24"/>
          <w:lang w:eastAsia="cs-CZ" w:bidi="cs-CZ"/>
        </w:rPr>
      </w:pPr>
      <w:bookmarkStart w:id="23" w:name="_Hlk151532303"/>
      <w:r w:rsidRPr="003B2CEF">
        <w:rPr>
          <w:rFonts w:eastAsia="Times New Roman" w:cs="Times New Roman"/>
          <w:szCs w:val="24"/>
          <w:lang w:eastAsia="cs-CZ" w:bidi="cs-CZ"/>
        </w:rPr>
        <w:t>Poskytnutí dotace v běžném kalendářním roce nezakládá nárok žadatele na dotaci v následujících letech.</w:t>
      </w:r>
      <w:bookmarkEnd w:id="23"/>
      <w:bookmarkEnd w:id="22"/>
    </w:p>
    <w:p w:rsidR="00984B96" w:rsidRPr="00E60615" w:rsidRDefault="00984B96" w:rsidP="003B2CEF">
      <w:pPr>
        <w:pStyle w:val="Styl12bZarovnatdobloku"/>
        <w:numPr>
          <w:ilvl w:val="0"/>
          <w:numId w:val="12"/>
        </w:numPr>
        <w:ind w:left="357" w:hanging="357"/>
        <w:rPr>
          <w:szCs w:val="24"/>
        </w:rPr>
      </w:pPr>
      <w:bookmarkStart w:id="24" w:name="_Hlk151532370"/>
      <w:r w:rsidRPr="00E60615">
        <w:rPr>
          <w:szCs w:val="24"/>
        </w:rPr>
        <w:t xml:space="preserve">Ministerstvo kultury je oprávněno zahájit řízení o odnětí dotace, pokud po vydání rozhodnutí nastanou skutečnosti uvedené v § 15 odst. 1 </w:t>
      </w:r>
      <w:r w:rsidRPr="00E60615">
        <w:rPr>
          <w:spacing w:val="-4"/>
          <w:szCs w:val="24"/>
        </w:rPr>
        <w:t>zákona č. 218/2000 Sb., o</w:t>
      </w:r>
      <w:r w:rsidR="006666E0" w:rsidRPr="00E60615">
        <w:rPr>
          <w:spacing w:val="-4"/>
          <w:szCs w:val="24"/>
        </w:rPr>
        <w:t> </w:t>
      </w:r>
      <w:r w:rsidRPr="00E60615">
        <w:rPr>
          <w:spacing w:val="-4"/>
          <w:szCs w:val="24"/>
        </w:rPr>
        <w:t xml:space="preserve">rozpočtových pravidlech a o změně některých souvisejících zákonů (rozpočtová pravidla), ve znění pozdějších předpisů </w:t>
      </w:r>
      <w:r w:rsidRPr="00E60615">
        <w:rPr>
          <w:szCs w:val="24"/>
        </w:rPr>
        <w:t>(například dojde k vázání prostředků státního rozpočtu nebo Ministerstvo kultury zjistí, že údaje, na jejichž základě byl</w:t>
      </w:r>
      <w:r w:rsidR="00364D16" w:rsidRPr="00E60615">
        <w:rPr>
          <w:szCs w:val="24"/>
        </w:rPr>
        <w:t>a</w:t>
      </w:r>
      <w:r w:rsidRPr="00E60615">
        <w:rPr>
          <w:szCs w:val="24"/>
        </w:rPr>
        <w:t xml:space="preserve"> dotace poskytnuta, byly neúplné nebo nepravdivé</w:t>
      </w:r>
      <w:r w:rsidR="00420FBB" w:rsidRPr="00E60615">
        <w:rPr>
          <w:szCs w:val="24"/>
        </w:rPr>
        <w:t>.</w:t>
      </w:r>
    </w:p>
    <w:p w:rsidR="00984B96" w:rsidRPr="00E60615" w:rsidRDefault="00D51478" w:rsidP="003B2CEF">
      <w:pPr>
        <w:pStyle w:val="Default"/>
        <w:numPr>
          <w:ilvl w:val="0"/>
          <w:numId w:val="12"/>
        </w:numPr>
        <w:ind w:left="357" w:hanging="357"/>
        <w:jc w:val="both"/>
        <w:rPr>
          <w:color w:val="auto"/>
        </w:rPr>
      </w:pPr>
      <w:bookmarkStart w:id="25" w:name="_Hlk151532421"/>
      <w:bookmarkEnd w:id="24"/>
      <w:r w:rsidRPr="00E60615">
        <w:rPr>
          <w:color w:val="auto"/>
        </w:rPr>
        <w:t xml:space="preserve">Osobní údaje žadatele uvedené v žádosti o poskytnutí </w:t>
      </w:r>
      <w:r w:rsidR="00364D16" w:rsidRPr="00E60615">
        <w:rPr>
          <w:color w:val="auto"/>
        </w:rPr>
        <w:t>dotace</w:t>
      </w:r>
      <w:r w:rsidRPr="00E60615">
        <w:rPr>
          <w:color w:val="auto"/>
        </w:rPr>
        <w:t xml:space="preserve"> budou zpracovávány Ministerstvem kultury v souladu se zákonem č. 110/2019 Sb., o zpracování osobních údajů </w:t>
      </w:r>
      <w:r w:rsidRPr="00E60615">
        <w:rPr>
          <w:color w:val="auto"/>
        </w:rPr>
        <w:br/>
        <w:t xml:space="preserve">a o změně některých zákonů, v platném znění, za účelem posouzení žádosti; pokud bude </w:t>
      </w:r>
      <w:r w:rsidR="00364D16" w:rsidRPr="00E60615">
        <w:rPr>
          <w:color w:val="auto"/>
        </w:rPr>
        <w:t>dotace</w:t>
      </w:r>
      <w:r w:rsidRPr="00E60615">
        <w:rPr>
          <w:color w:val="auto"/>
        </w:rPr>
        <w:t xml:space="preserve"> poskytnut</w:t>
      </w:r>
      <w:r w:rsidR="00364D16" w:rsidRPr="00E60615">
        <w:rPr>
          <w:color w:val="auto"/>
        </w:rPr>
        <w:t>a</w:t>
      </w:r>
      <w:r w:rsidRPr="00E60615">
        <w:rPr>
          <w:color w:val="auto"/>
        </w:rPr>
        <w:t>, budou osobní údaje žadatele zveřejněny ve veřejně přístupném informačním systému Ministerstva financí</w:t>
      </w:r>
      <w:r w:rsidR="00941917" w:rsidRPr="00E60615">
        <w:rPr>
          <w:color w:val="auto"/>
        </w:rPr>
        <w:t>,</w:t>
      </w:r>
      <w:r w:rsidRPr="00E60615">
        <w:rPr>
          <w:color w:val="auto"/>
        </w:rPr>
        <w:t xml:space="preserve"> případně jiným způsobem podle platných právních předpisů. </w:t>
      </w:r>
      <w:bookmarkEnd w:id="25"/>
    </w:p>
    <w:p w:rsidR="00D51478" w:rsidRPr="00E60615" w:rsidRDefault="00D51478" w:rsidP="003B2CEF">
      <w:pPr>
        <w:pStyle w:val="Default"/>
        <w:numPr>
          <w:ilvl w:val="0"/>
          <w:numId w:val="12"/>
        </w:numPr>
        <w:ind w:left="357" w:hanging="357"/>
        <w:jc w:val="both"/>
        <w:rPr>
          <w:color w:val="auto"/>
        </w:rPr>
      </w:pPr>
      <w:r w:rsidRPr="00E60615">
        <w:rPr>
          <w:color w:val="auto"/>
        </w:rPr>
        <w:t>Ministerstvo kultury upozorňuje na povinnost poskytovat statistické údaje podle zákona č.</w:t>
      </w:r>
      <w:r w:rsidR="00DE7AF9" w:rsidRPr="00E60615">
        <w:rPr>
          <w:color w:val="auto"/>
        </w:rPr>
        <w:t> </w:t>
      </w:r>
      <w:r w:rsidRPr="00E60615">
        <w:rPr>
          <w:color w:val="auto"/>
        </w:rPr>
        <w:t xml:space="preserve">89/1995 Sb., o státní statistické službě, ve znění pozdějších předpisů. </w:t>
      </w:r>
    </w:p>
    <w:p w:rsidR="00E77B5F" w:rsidRDefault="00710F72" w:rsidP="003B2CEF">
      <w:pPr>
        <w:pStyle w:val="Default"/>
        <w:numPr>
          <w:ilvl w:val="0"/>
          <w:numId w:val="12"/>
        </w:numPr>
        <w:ind w:left="357" w:hanging="357"/>
        <w:jc w:val="both"/>
      </w:pPr>
      <w:bookmarkStart w:id="26" w:name="_Hlk151532557"/>
      <w:r w:rsidRPr="00E60615">
        <w:rPr>
          <w:color w:val="auto"/>
        </w:rPr>
        <w:t>Všechny aktuální dokumenty, pokyny, formuláře</w:t>
      </w:r>
      <w:r w:rsidR="00364D16" w:rsidRPr="00E60615">
        <w:rPr>
          <w:color w:val="auto"/>
        </w:rPr>
        <w:t xml:space="preserve"> </w:t>
      </w:r>
      <w:r w:rsidRPr="00E60615">
        <w:rPr>
          <w:color w:val="auto"/>
        </w:rPr>
        <w:t>a další materiály, důležité pro administraci Programu regenerace naleznete na webových stránkách Ministerstva kultury:</w:t>
      </w:r>
      <w:bookmarkEnd w:id="26"/>
      <w:r w:rsidR="00DC1A5F">
        <w:rPr>
          <w:color w:val="auto"/>
        </w:rPr>
        <w:t xml:space="preserve"> </w:t>
      </w:r>
      <w:hyperlink r:id="rId10" w:history="1">
        <w:r w:rsidR="00E77B5F" w:rsidRPr="00614478">
          <w:rPr>
            <w:rStyle w:val="Hypertextovodkaz"/>
          </w:rPr>
          <w:t>https://mk.gov.cz/program-regenerace-mestskych-pamatkovych-rezervaci-a-mestskych-pamatkovych-zon-cs-282</w:t>
        </w:r>
      </w:hyperlink>
    </w:p>
    <w:p w:rsidR="00E77B5F" w:rsidRDefault="00E77B5F" w:rsidP="00E77B5F">
      <w:pPr>
        <w:pStyle w:val="Default"/>
        <w:spacing w:after="80"/>
        <w:jc w:val="both"/>
        <w:rPr>
          <w:rFonts w:eastAsia="Times New Roman"/>
          <w:b/>
          <w:bCs/>
          <w:sz w:val="28"/>
          <w:szCs w:val="28"/>
          <w:lang w:eastAsia="cs-CZ" w:bidi="cs-CZ"/>
        </w:rPr>
      </w:pPr>
    </w:p>
    <w:p w:rsidR="00E77B5F" w:rsidRDefault="00E77B5F" w:rsidP="00E77B5F">
      <w:pPr>
        <w:pStyle w:val="Default"/>
        <w:spacing w:after="80"/>
        <w:jc w:val="both"/>
        <w:rPr>
          <w:rFonts w:eastAsia="Times New Roman"/>
          <w:b/>
          <w:bCs/>
          <w:sz w:val="28"/>
          <w:szCs w:val="28"/>
          <w:lang w:eastAsia="cs-CZ" w:bidi="cs-CZ"/>
        </w:rPr>
      </w:pPr>
    </w:p>
    <w:p w:rsidR="00116398" w:rsidRPr="003B2CEF" w:rsidRDefault="00116398" w:rsidP="00E77B5F">
      <w:pPr>
        <w:pStyle w:val="Default"/>
        <w:spacing w:after="80"/>
        <w:jc w:val="both"/>
        <w:rPr>
          <w:rFonts w:eastAsia="Times New Roman"/>
          <w:lang w:eastAsia="cs-CZ" w:bidi="cs-CZ"/>
        </w:rPr>
      </w:pPr>
      <w:r w:rsidRPr="003B2CEF">
        <w:rPr>
          <w:rFonts w:eastAsia="Times New Roman"/>
          <w:bCs/>
          <w:lang w:eastAsia="cs-CZ" w:bidi="cs-CZ"/>
        </w:rPr>
        <w:t>K</w:t>
      </w:r>
      <w:r w:rsidR="003B2CEF">
        <w:rPr>
          <w:rFonts w:eastAsia="Times New Roman"/>
          <w:bCs/>
          <w:lang w:eastAsia="cs-CZ" w:bidi="cs-CZ"/>
        </w:rPr>
        <w:t>ontakt</w:t>
      </w:r>
      <w:r w:rsidRPr="003B2CEF">
        <w:rPr>
          <w:rFonts w:eastAsia="Times New Roman"/>
          <w:bCs/>
          <w:lang w:eastAsia="cs-CZ" w:bidi="cs-CZ"/>
        </w:rPr>
        <w:t>:</w:t>
      </w:r>
      <w:r w:rsidRPr="003B2CEF">
        <w:rPr>
          <w:rFonts w:eastAsia="Times New Roman"/>
          <w:lang w:eastAsia="cs-CZ" w:bidi="cs-CZ"/>
        </w:rPr>
        <w:t xml:space="preserve"> </w:t>
      </w:r>
    </w:p>
    <w:p w:rsidR="00116398" w:rsidRPr="008B35A4" w:rsidRDefault="00116398" w:rsidP="00E60615">
      <w:pPr>
        <w:spacing w:line="240" w:lineRule="auto"/>
        <w:jc w:val="both"/>
        <w:rPr>
          <w:rFonts w:eastAsia="Times New Roman"/>
          <w:color w:val="000000"/>
          <w:szCs w:val="24"/>
          <w:lang w:eastAsia="cs-CZ" w:bidi="cs-CZ"/>
        </w:rPr>
      </w:pPr>
      <w:r w:rsidRPr="008B35A4">
        <w:rPr>
          <w:rFonts w:eastAsia="Times New Roman"/>
          <w:color w:val="000000"/>
          <w:szCs w:val="24"/>
          <w:lang w:eastAsia="cs-CZ" w:bidi="cs-CZ"/>
        </w:rPr>
        <w:t xml:space="preserve">Ministerstvo kultury, odbor památkové péče, Maltézské nám. 1, 118 11 Praha 1, </w:t>
      </w:r>
    </w:p>
    <w:p w:rsidR="00A117F5" w:rsidRDefault="00A117F5" w:rsidP="00E60615">
      <w:pPr>
        <w:spacing w:after="80" w:line="240" w:lineRule="auto"/>
        <w:jc w:val="both"/>
      </w:pPr>
      <w:r>
        <w:t>Ing. Michaela Exnarová</w:t>
      </w:r>
      <w:r w:rsidR="00DD69E2">
        <w:t>,</w:t>
      </w:r>
      <w:r>
        <w:t xml:space="preserve"> </w:t>
      </w:r>
      <w:r w:rsidR="00DD69E2">
        <w:t>t</w:t>
      </w:r>
      <w:r>
        <w:t>el.: 257 085</w:t>
      </w:r>
      <w:r w:rsidR="00DD69E2">
        <w:t> </w:t>
      </w:r>
      <w:r>
        <w:t>487</w:t>
      </w:r>
      <w:r w:rsidR="00DD69E2">
        <w:t xml:space="preserve">, </w:t>
      </w:r>
      <w:r w:rsidR="00DD69E2" w:rsidRPr="00DD69E2">
        <w:t>702</w:t>
      </w:r>
      <w:r w:rsidR="00DD69E2">
        <w:t> </w:t>
      </w:r>
      <w:r w:rsidR="00DD69E2" w:rsidRPr="00DD69E2">
        <w:t>091</w:t>
      </w:r>
      <w:r w:rsidR="00DD69E2">
        <w:t> </w:t>
      </w:r>
      <w:r w:rsidR="00DD69E2" w:rsidRPr="00DD69E2">
        <w:t>645</w:t>
      </w:r>
      <w:r w:rsidR="00DD69E2">
        <w:t>,</w:t>
      </w:r>
      <w:r>
        <w:t xml:space="preserve"> </w:t>
      </w:r>
      <w:hyperlink r:id="rId11" w:history="1">
        <w:r w:rsidR="00DD69E2" w:rsidRPr="00862F24">
          <w:rPr>
            <w:rStyle w:val="Hypertextovodkaz"/>
          </w:rPr>
          <w:t>michaela.exnarova@mk</w:t>
        </w:r>
        <w:r w:rsidR="00E77B5F">
          <w:rPr>
            <w:rStyle w:val="Hypertextovodkaz"/>
          </w:rPr>
          <w:t>.gov</w:t>
        </w:r>
        <w:r w:rsidR="00DD69E2" w:rsidRPr="00862F24">
          <w:rPr>
            <w:rStyle w:val="Hypertextovodkaz"/>
          </w:rPr>
          <w:t>.cz</w:t>
        </w:r>
      </w:hyperlink>
      <w:r w:rsidR="00116398">
        <w:t xml:space="preserve">, </w:t>
      </w:r>
      <w:r w:rsidRPr="00A117F5">
        <w:t>vedoucí oddělení regenerac</w:t>
      </w:r>
      <w:r>
        <w:t xml:space="preserve">e kulturních památek </w:t>
      </w:r>
      <w:r w:rsidRPr="00A117F5">
        <w:t>a památkově chráněných území v odboru památkové péče</w:t>
      </w:r>
    </w:p>
    <w:p w:rsidR="00DE7AF9" w:rsidRDefault="00DE7AF9" w:rsidP="00832517">
      <w:pPr>
        <w:pStyle w:val="Default"/>
        <w:spacing w:after="80"/>
        <w:jc w:val="both"/>
        <w:rPr>
          <w:color w:val="FF0000"/>
        </w:rPr>
      </w:pPr>
    </w:p>
    <w:p w:rsidR="000F4EF2" w:rsidRPr="00DE7AF9" w:rsidRDefault="000F4EF2" w:rsidP="00832517">
      <w:pPr>
        <w:pStyle w:val="Default"/>
        <w:jc w:val="both"/>
      </w:pPr>
      <w:bookmarkStart w:id="27" w:name="_Hlk151532607"/>
      <w:r w:rsidRPr="00DE7AF9">
        <w:t xml:space="preserve"> </w:t>
      </w:r>
      <w:bookmarkEnd w:id="27"/>
    </w:p>
    <w:sectPr w:rsidR="000F4EF2" w:rsidRPr="00DE7AF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EF2" w:rsidRDefault="000F4EF2" w:rsidP="001F46BE">
      <w:pPr>
        <w:spacing w:line="240" w:lineRule="auto"/>
      </w:pPr>
      <w:r>
        <w:separator/>
      </w:r>
    </w:p>
  </w:endnote>
  <w:endnote w:type="continuationSeparator" w:id="0">
    <w:p w:rsidR="000F4EF2" w:rsidRDefault="000F4EF2" w:rsidP="001F4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9154817"/>
      <w:docPartObj>
        <w:docPartGallery w:val="Page Numbers (Bottom of Page)"/>
        <w:docPartUnique/>
      </w:docPartObj>
    </w:sdtPr>
    <w:sdtEndPr/>
    <w:sdtContent>
      <w:p w:rsidR="000F4EF2" w:rsidRDefault="000F4E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0F4EF2" w:rsidRDefault="000F4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EF2" w:rsidRDefault="000F4EF2" w:rsidP="001F46BE">
      <w:pPr>
        <w:spacing w:line="240" w:lineRule="auto"/>
      </w:pPr>
      <w:r>
        <w:separator/>
      </w:r>
    </w:p>
  </w:footnote>
  <w:footnote w:type="continuationSeparator" w:id="0">
    <w:p w:rsidR="000F4EF2" w:rsidRDefault="000F4EF2" w:rsidP="001F46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46ACF"/>
    <w:multiLevelType w:val="hybridMultilevel"/>
    <w:tmpl w:val="CACC9F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B60E4"/>
    <w:multiLevelType w:val="hybridMultilevel"/>
    <w:tmpl w:val="81D2F3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F34B3"/>
    <w:multiLevelType w:val="hybridMultilevel"/>
    <w:tmpl w:val="A88A4EE2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44185"/>
    <w:multiLevelType w:val="hybridMultilevel"/>
    <w:tmpl w:val="AF3E8BA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5C225F"/>
    <w:multiLevelType w:val="hybridMultilevel"/>
    <w:tmpl w:val="C4E408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67934"/>
    <w:multiLevelType w:val="hybridMultilevel"/>
    <w:tmpl w:val="13980C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423A0"/>
    <w:multiLevelType w:val="hybridMultilevel"/>
    <w:tmpl w:val="D1D6BB62"/>
    <w:lvl w:ilvl="0" w:tplc="04050005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9" w:hanging="360"/>
      </w:pPr>
      <w:rPr>
        <w:rFonts w:ascii="Wingdings" w:hAnsi="Wingdings" w:hint="default"/>
      </w:rPr>
    </w:lvl>
  </w:abstractNum>
  <w:abstractNum w:abstractNumId="7" w15:restartNumberingAfterBreak="0">
    <w:nsid w:val="4B536829"/>
    <w:multiLevelType w:val="hybridMultilevel"/>
    <w:tmpl w:val="8C82EF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2C3D"/>
    <w:multiLevelType w:val="multilevel"/>
    <w:tmpl w:val="BC42E21A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9E6637"/>
    <w:multiLevelType w:val="hybridMultilevel"/>
    <w:tmpl w:val="38F223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86C41"/>
    <w:multiLevelType w:val="hybridMultilevel"/>
    <w:tmpl w:val="99CA7CD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680980"/>
    <w:multiLevelType w:val="hybridMultilevel"/>
    <w:tmpl w:val="5880B58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1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99"/>
    <w:rsid w:val="000002FB"/>
    <w:rsid w:val="00010057"/>
    <w:rsid w:val="00011847"/>
    <w:rsid w:val="00015793"/>
    <w:rsid w:val="00020274"/>
    <w:rsid w:val="000232A0"/>
    <w:rsid w:val="00030799"/>
    <w:rsid w:val="0004142F"/>
    <w:rsid w:val="0004413B"/>
    <w:rsid w:val="000444E3"/>
    <w:rsid w:val="0005470C"/>
    <w:rsid w:val="00054BE6"/>
    <w:rsid w:val="00060447"/>
    <w:rsid w:val="00065FF3"/>
    <w:rsid w:val="0007066F"/>
    <w:rsid w:val="00080490"/>
    <w:rsid w:val="00086FEC"/>
    <w:rsid w:val="000908AA"/>
    <w:rsid w:val="00090BB1"/>
    <w:rsid w:val="000925E8"/>
    <w:rsid w:val="00096181"/>
    <w:rsid w:val="00097C44"/>
    <w:rsid w:val="000A1573"/>
    <w:rsid w:val="000B116D"/>
    <w:rsid w:val="000B13D5"/>
    <w:rsid w:val="000B58C8"/>
    <w:rsid w:val="000B6E96"/>
    <w:rsid w:val="000B7DC0"/>
    <w:rsid w:val="000C2F3F"/>
    <w:rsid w:val="000D097F"/>
    <w:rsid w:val="000D0FA2"/>
    <w:rsid w:val="000D50A5"/>
    <w:rsid w:val="000D6ED8"/>
    <w:rsid w:val="000E5DA7"/>
    <w:rsid w:val="000F1437"/>
    <w:rsid w:val="000F4EF2"/>
    <w:rsid w:val="000F6499"/>
    <w:rsid w:val="000F67DC"/>
    <w:rsid w:val="000F7204"/>
    <w:rsid w:val="00111F73"/>
    <w:rsid w:val="00116398"/>
    <w:rsid w:val="0012263C"/>
    <w:rsid w:val="00127284"/>
    <w:rsid w:val="00130020"/>
    <w:rsid w:val="00134D27"/>
    <w:rsid w:val="001360EB"/>
    <w:rsid w:val="001471F4"/>
    <w:rsid w:val="00147C72"/>
    <w:rsid w:val="001507C5"/>
    <w:rsid w:val="0015518F"/>
    <w:rsid w:val="0016099A"/>
    <w:rsid w:val="0016195A"/>
    <w:rsid w:val="00167B5F"/>
    <w:rsid w:val="001724E4"/>
    <w:rsid w:val="0017484C"/>
    <w:rsid w:val="00180B24"/>
    <w:rsid w:val="00184C5F"/>
    <w:rsid w:val="001861C5"/>
    <w:rsid w:val="00193E5A"/>
    <w:rsid w:val="00194D33"/>
    <w:rsid w:val="00196F7D"/>
    <w:rsid w:val="001B3684"/>
    <w:rsid w:val="001B5C1F"/>
    <w:rsid w:val="001B603F"/>
    <w:rsid w:val="001C0FFE"/>
    <w:rsid w:val="001C4DAD"/>
    <w:rsid w:val="001C4F15"/>
    <w:rsid w:val="001C785F"/>
    <w:rsid w:val="001D07B2"/>
    <w:rsid w:val="001D27B4"/>
    <w:rsid w:val="001D3CD1"/>
    <w:rsid w:val="001D3E27"/>
    <w:rsid w:val="001E6245"/>
    <w:rsid w:val="001F28B4"/>
    <w:rsid w:val="001F46BE"/>
    <w:rsid w:val="00204B37"/>
    <w:rsid w:val="0020522F"/>
    <w:rsid w:val="0020776C"/>
    <w:rsid w:val="002127AA"/>
    <w:rsid w:val="00213E27"/>
    <w:rsid w:val="00225E8A"/>
    <w:rsid w:val="0023577B"/>
    <w:rsid w:val="002400A4"/>
    <w:rsid w:val="002422F1"/>
    <w:rsid w:val="002630C6"/>
    <w:rsid w:val="0027375E"/>
    <w:rsid w:val="00284940"/>
    <w:rsid w:val="00285A72"/>
    <w:rsid w:val="00287CA4"/>
    <w:rsid w:val="00290ED5"/>
    <w:rsid w:val="00293786"/>
    <w:rsid w:val="002938D6"/>
    <w:rsid w:val="00295441"/>
    <w:rsid w:val="002A27B6"/>
    <w:rsid w:val="002B52B0"/>
    <w:rsid w:val="002D142C"/>
    <w:rsid w:val="002D477B"/>
    <w:rsid w:val="002D624F"/>
    <w:rsid w:val="00301F6B"/>
    <w:rsid w:val="0031492E"/>
    <w:rsid w:val="00327AC5"/>
    <w:rsid w:val="00334E07"/>
    <w:rsid w:val="00334F24"/>
    <w:rsid w:val="003433B2"/>
    <w:rsid w:val="003532FF"/>
    <w:rsid w:val="0035381E"/>
    <w:rsid w:val="00353CD2"/>
    <w:rsid w:val="0035753F"/>
    <w:rsid w:val="00364D16"/>
    <w:rsid w:val="00373D8D"/>
    <w:rsid w:val="00380501"/>
    <w:rsid w:val="00383D84"/>
    <w:rsid w:val="0038432A"/>
    <w:rsid w:val="00385012"/>
    <w:rsid w:val="003A5A36"/>
    <w:rsid w:val="003B2CEF"/>
    <w:rsid w:val="003B4975"/>
    <w:rsid w:val="003C119A"/>
    <w:rsid w:val="003C5F70"/>
    <w:rsid w:val="003D3649"/>
    <w:rsid w:val="003E0BF0"/>
    <w:rsid w:val="003E2033"/>
    <w:rsid w:val="003F0679"/>
    <w:rsid w:val="003F3874"/>
    <w:rsid w:val="003F5CB1"/>
    <w:rsid w:val="004034E4"/>
    <w:rsid w:val="0041332A"/>
    <w:rsid w:val="00415D1E"/>
    <w:rsid w:val="00417F53"/>
    <w:rsid w:val="00420FBB"/>
    <w:rsid w:val="00421480"/>
    <w:rsid w:val="0042570B"/>
    <w:rsid w:val="004308EB"/>
    <w:rsid w:val="0043303F"/>
    <w:rsid w:val="00433A79"/>
    <w:rsid w:val="0044217C"/>
    <w:rsid w:val="00444604"/>
    <w:rsid w:val="004532F9"/>
    <w:rsid w:val="00455D01"/>
    <w:rsid w:val="00457568"/>
    <w:rsid w:val="0046063A"/>
    <w:rsid w:val="004669A8"/>
    <w:rsid w:val="0046777E"/>
    <w:rsid w:val="00493572"/>
    <w:rsid w:val="004A417C"/>
    <w:rsid w:val="004B2D8E"/>
    <w:rsid w:val="004B762D"/>
    <w:rsid w:val="004C227C"/>
    <w:rsid w:val="004C36A0"/>
    <w:rsid w:val="004D7EAC"/>
    <w:rsid w:val="004F5ECF"/>
    <w:rsid w:val="005008CF"/>
    <w:rsid w:val="00523C9C"/>
    <w:rsid w:val="005248F4"/>
    <w:rsid w:val="005258E1"/>
    <w:rsid w:val="0052649C"/>
    <w:rsid w:val="00531FB6"/>
    <w:rsid w:val="00537425"/>
    <w:rsid w:val="00543064"/>
    <w:rsid w:val="00554ABF"/>
    <w:rsid w:val="00560639"/>
    <w:rsid w:val="00560EA9"/>
    <w:rsid w:val="0056754E"/>
    <w:rsid w:val="005A36F6"/>
    <w:rsid w:val="005A3732"/>
    <w:rsid w:val="005B014D"/>
    <w:rsid w:val="005B2EE6"/>
    <w:rsid w:val="005B73C6"/>
    <w:rsid w:val="005C02AA"/>
    <w:rsid w:val="005C19C8"/>
    <w:rsid w:val="005C69FC"/>
    <w:rsid w:val="005C6F35"/>
    <w:rsid w:val="005D098E"/>
    <w:rsid w:val="005D2D74"/>
    <w:rsid w:val="005D4DB0"/>
    <w:rsid w:val="005E4907"/>
    <w:rsid w:val="006030CD"/>
    <w:rsid w:val="00606A48"/>
    <w:rsid w:val="00613A95"/>
    <w:rsid w:val="00622B98"/>
    <w:rsid w:val="006257E6"/>
    <w:rsid w:val="0062795C"/>
    <w:rsid w:val="00630305"/>
    <w:rsid w:val="00633921"/>
    <w:rsid w:val="00647F7F"/>
    <w:rsid w:val="0065438D"/>
    <w:rsid w:val="006652DF"/>
    <w:rsid w:val="00666496"/>
    <w:rsid w:val="006666E0"/>
    <w:rsid w:val="006673FD"/>
    <w:rsid w:val="00670BF4"/>
    <w:rsid w:val="006717A2"/>
    <w:rsid w:val="00681FE5"/>
    <w:rsid w:val="006B13B5"/>
    <w:rsid w:val="006C538C"/>
    <w:rsid w:val="006E1359"/>
    <w:rsid w:val="006E7B98"/>
    <w:rsid w:val="00704C7D"/>
    <w:rsid w:val="007059B3"/>
    <w:rsid w:val="00710F72"/>
    <w:rsid w:val="00727FB0"/>
    <w:rsid w:val="00730976"/>
    <w:rsid w:val="00737F03"/>
    <w:rsid w:val="00741ECC"/>
    <w:rsid w:val="0074657D"/>
    <w:rsid w:val="00746F2F"/>
    <w:rsid w:val="00752191"/>
    <w:rsid w:val="00766356"/>
    <w:rsid w:val="007725CF"/>
    <w:rsid w:val="00775B53"/>
    <w:rsid w:val="007810B4"/>
    <w:rsid w:val="0078753F"/>
    <w:rsid w:val="007A0205"/>
    <w:rsid w:val="007A0B37"/>
    <w:rsid w:val="007A14F8"/>
    <w:rsid w:val="007A5E64"/>
    <w:rsid w:val="007B09FA"/>
    <w:rsid w:val="007B6259"/>
    <w:rsid w:val="007B6753"/>
    <w:rsid w:val="007B7F75"/>
    <w:rsid w:val="007C062C"/>
    <w:rsid w:val="007C14C9"/>
    <w:rsid w:val="007E04F8"/>
    <w:rsid w:val="007E5E5F"/>
    <w:rsid w:val="007F412F"/>
    <w:rsid w:val="007F5FF5"/>
    <w:rsid w:val="0080491F"/>
    <w:rsid w:val="0081153B"/>
    <w:rsid w:val="00814AB3"/>
    <w:rsid w:val="00814F91"/>
    <w:rsid w:val="00816387"/>
    <w:rsid w:val="008179C0"/>
    <w:rsid w:val="0082013A"/>
    <w:rsid w:val="00820FCB"/>
    <w:rsid w:val="0082203F"/>
    <w:rsid w:val="008234F9"/>
    <w:rsid w:val="008248B4"/>
    <w:rsid w:val="008261DF"/>
    <w:rsid w:val="00832517"/>
    <w:rsid w:val="0084282C"/>
    <w:rsid w:val="00847A68"/>
    <w:rsid w:val="00860E6F"/>
    <w:rsid w:val="00861810"/>
    <w:rsid w:val="008657AC"/>
    <w:rsid w:val="0086774D"/>
    <w:rsid w:val="00872D81"/>
    <w:rsid w:val="00885CFD"/>
    <w:rsid w:val="00892B64"/>
    <w:rsid w:val="00892EE3"/>
    <w:rsid w:val="008938B6"/>
    <w:rsid w:val="008A02A4"/>
    <w:rsid w:val="008B0DDA"/>
    <w:rsid w:val="008C44D3"/>
    <w:rsid w:val="008D19C3"/>
    <w:rsid w:val="008D6F8A"/>
    <w:rsid w:val="008E0A7A"/>
    <w:rsid w:val="008E4E80"/>
    <w:rsid w:val="008E613F"/>
    <w:rsid w:val="008F0FDE"/>
    <w:rsid w:val="008F338B"/>
    <w:rsid w:val="00903E79"/>
    <w:rsid w:val="009125E2"/>
    <w:rsid w:val="00922C08"/>
    <w:rsid w:val="00922EAF"/>
    <w:rsid w:val="00941917"/>
    <w:rsid w:val="00941B8D"/>
    <w:rsid w:val="00941C02"/>
    <w:rsid w:val="009625A2"/>
    <w:rsid w:val="00967B88"/>
    <w:rsid w:val="009705C6"/>
    <w:rsid w:val="00971CDE"/>
    <w:rsid w:val="00975710"/>
    <w:rsid w:val="00980E85"/>
    <w:rsid w:val="00981934"/>
    <w:rsid w:val="009823F2"/>
    <w:rsid w:val="00983040"/>
    <w:rsid w:val="00983245"/>
    <w:rsid w:val="00983329"/>
    <w:rsid w:val="00984B96"/>
    <w:rsid w:val="009913FA"/>
    <w:rsid w:val="00996834"/>
    <w:rsid w:val="009968AB"/>
    <w:rsid w:val="009A18E6"/>
    <w:rsid w:val="009A418B"/>
    <w:rsid w:val="009B12D9"/>
    <w:rsid w:val="009B2C2E"/>
    <w:rsid w:val="009B5C89"/>
    <w:rsid w:val="009C4740"/>
    <w:rsid w:val="009C4D0F"/>
    <w:rsid w:val="009D1641"/>
    <w:rsid w:val="009D4C63"/>
    <w:rsid w:val="009E3713"/>
    <w:rsid w:val="009E710E"/>
    <w:rsid w:val="009F13C0"/>
    <w:rsid w:val="009F4F4E"/>
    <w:rsid w:val="009F5BE6"/>
    <w:rsid w:val="00A03851"/>
    <w:rsid w:val="00A117F5"/>
    <w:rsid w:val="00A1301E"/>
    <w:rsid w:val="00A14A2A"/>
    <w:rsid w:val="00A1724C"/>
    <w:rsid w:val="00A31720"/>
    <w:rsid w:val="00A31EF8"/>
    <w:rsid w:val="00A354D6"/>
    <w:rsid w:val="00A376C8"/>
    <w:rsid w:val="00A4166F"/>
    <w:rsid w:val="00A45AE1"/>
    <w:rsid w:val="00A56C79"/>
    <w:rsid w:val="00A67A62"/>
    <w:rsid w:val="00A73470"/>
    <w:rsid w:val="00A77FC1"/>
    <w:rsid w:val="00A951F4"/>
    <w:rsid w:val="00A95638"/>
    <w:rsid w:val="00AA5DC2"/>
    <w:rsid w:val="00AA651B"/>
    <w:rsid w:val="00AB306D"/>
    <w:rsid w:val="00AB32B5"/>
    <w:rsid w:val="00AB5E2B"/>
    <w:rsid w:val="00AC2AB5"/>
    <w:rsid w:val="00AC30C4"/>
    <w:rsid w:val="00AC564D"/>
    <w:rsid w:val="00AD0304"/>
    <w:rsid w:val="00AD34CB"/>
    <w:rsid w:val="00AD3F46"/>
    <w:rsid w:val="00AD5F0D"/>
    <w:rsid w:val="00AE3B54"/>
    <w:rsid w:val="00AE3DFF"/>
    <w:rsid w:val="00AF226A"/>
    <w:rsid w:val="00AF4D36"/>
    <w:rsid w:val="00B0040B"/>
    <w:rsid w:val="00B110B9"/>
    <w:rsid w:val="00B11667"/>
    <w:rsid w:val="00B14A94"/>
    <w:rsid w:val="00B17CA0"/>
    <w:rsid w:val="00B22F4B"/>
    <w:rsid w:val="00B41427"/>
    <w:rsid w:val="00B42A8F"/>
    <w:rsid w:val="00B469B1"/>
    <w:rsid w:val="00B52505"/>
    <w:rsid w:val="00B65606"/>
    <w:rsid w:val="00B7111A"/>
    <w:rsid w:val="00B73445"/>
    <w:rsid w:val="00B80B9B"/>
    <w:rsid w:val="00B822A4"/>
    <w:rsid w:val="00B82B01"/>
    <w:rsid w:val="00B90085"/>
    <w:rsid w:val="00BB20C4"/>
    <w:rsid w:val="00BB4674"/>
    <w:rsid w:val="00BB5BC4"/>
    <w:rsid w:val="00BC5AD4"/>
    <w:rsid w:val="00BC5B2E"/>
    <w:rsid w:val="00BC740D"/>
    <w:rsid w:val="00BD4785"/>
    <w:rsid w:val="00BE73BF"/>
    <w:rsid w:val="00BF56E8"/>
    <w:rsid w:val="00C20807"/>
    <w:rsid w:val="00C22197"/>
    <w:rsid w:val="00C24972"/>
    <w:rsid w:val="00C251C6"/>
    <w:rsid w:val="00C312BC"/>
    <w:rsid w:val="00C329BA"/>
    <w:rsid w:val="00C53A38"/>
    <w:rsid w:val="00C53C7D"/>
    <w:rsid w:val="00C56A46"/>
    <w:rsid w:val="00C63B4D"/>
    <w:rsid w:val="00C64CE6"/>
    <w:rsid w:val="00C661B5"/>
    <w:rsid w:val="00C765F1"/>
    <w:rsid w:val="00C806FC"/>
    <w:rsid w:val="00CA7151"/>
    <w:rsid w:val="00CA7AC9"/>
    <w:rsid w:val="00CB556B"/>
    <w:rsid w:val="00CB670E"/>
    <w:rsid w:val="00CB7C91"/>
    <w:rsid w:val="00CC0E54"/>
    <w:rsid w:val="00CC3EDB"/>
    <w:rsid w:val="00CC56A5"/>
    <w:rsid w:val="00CD3A8B"/>
    <w:rsid w:val="00CE08B1"/>
    <w:rsid w:val="00CF19B0"/>
    <w:rsid w:val="00CF3DE8"/>
    <w:rsid w:val="00CF57BB"/>
    <w:rsid w:val="00D01048"/>
    <w:rsid w:val="00D060D0"/>
    <w:rsid w:val="00D31BB6"/>
    <w:rsid w:val="00D337F6"/>
    <w:rsid w:val="00D414AC"/>
    <w:rsid w:val="00D447C2"/>
    <w:rsid w:val="00D51478"/>
    <w:rsid w:val="00D51E08"/>
    <w:rsid w:val="00D53A56"/>
    <w:rsid w:val="00D60275"/>
    <w:rsid w:val="00D63988"/>
    <w:rsid w:val="00D64D78"/>
    <w:rsid w:val="00D72C9E"/>
    <w:rsid w:val="00D7392D"/>
    <w:rsid w:val="00D739AC"/>
    <w:rsid w:val="00D84197"/>
    <w:rsid w:val="00D85AE8"/>
    <w:rsid w:val="00D94A5F"/>
    <w:rsid w:val="00D94B00"/>
    <w:rsid w:val="00DA1811"/>
    <w:rsid w:val="00DA3FF9"/>
    <w:rsid w:val="00DA6599"/>
    <w:rsid w:val="00DA7E75"/>
    <w:rsid w:val="00DB1BC3"/>
    <w:rsid w:val="00DB3364"/>
    <w:rsid w:val="00DC0FA8"/>
    <w:rsid w:val="00DC122D"/>
    <w:rsid w:val="00DC1A5F"/>
    <w:rsid w:val="00DC49FA"/>
    <w:rsid w:val="00DD2724"/>
    <w:rsid w:val="00DD55ED"/>
    <w:rsid w:val="00DD69E2"/>
    <w:rsid w:val="00DE49A4"/>
    <w:rsid w:val="00DE7AF9"/>
    <w:rsid w:val="00DF168A"/>
    <w:rsid w:val="00DF2628"/>
    <w:rsid w:val="00DF35C8"/>
    <w:rsid w:val="00E2037F"/>
    <w:rsid w:val="00E252CC"/>
    <w:rsid w:val="00E26EAC"/>
    <w:rsid w:val="00E27AE2"/>
    <w:rsid w:val="00E30C8A"/>
    <w:rsid w:val="00E33670"/>
    <w:rsid w:val="00E35DEA"/>
    <w:rsid w:val="00E36CD3"/>
    <w:rsid w:val="00E41B6F"/>
    <w:rsid w:val="00E46B04"/>
    <w:rsid w:val="00E60615"/>
    <w:rsid w:val="00E61EC2"/>
    <w:rsid w:val="00E7184C"/>
    <w:rsid w:val="00E77B5F"/>
    <w:rsid w:val="00E92EC7"/>
    <w:rsid w:val="00E942ED"/>
    <w:rsid w:val="00E97C3E"/>
    <w:rsid w:val="00E97F88"/>
    <w:rsid w:val="00EA0B37"/>
    <w:rsid w:val="00EA0DFE"/>
    <w:rsid w:val="00EA391D"/>
    <w:rsid w:val="00EB1639"/>
    <w:rsid w:val="00EB1E4A"/>
    <w:rsid w:val="00EB5708"/>
    <w:rsid w:val="00EB5DF8"/>
    <w:rsid w:val="00EB6343"/>
    <w:rsid w:val="00EC0842"/>
    <w:rsid w:val="00EC3CEC"/>
    <w:rsid w:val="00ED00FE"/>
    <w:rsid w:val="00ED2595"/>
    <w:rsid w:val="00EE0263"/>
    <w:rsid w:val="00EE0911"/>
    <w:rsid w:val="00EE7EE3"/>
    <w:rsid w:val="00EF00D2"/>
    <w:rsid w:val="00F05E0A"/>
    <w:rsid w:val="00F338AD"/>
    <w:rsid w:val="00F33C25"/>
    <w:rsid w:val="00F34F93"/>
    <w:rsid w:val="00F50BB7"/>
    <w:rsid w:val="00F51B93"/>
    <w:rsid w:val="00F60C7F"/>
    <w:rsid w:val="00F62A8D"/>
    <w:rsid w:val="00F70758"/>
    <w:rsid w:val="00F71ED5"/>
    <w:rsid w:val="00F743C5"/>
    <w:rsid w:val="00F81549"/>
    <w:rsid w:val="00F84AD5"/>
    <w:rsid w:val="00F92D5E"/>
    <w:rsid w:val="00F97E3C"/>
    <w:rsid w:val="00FA0BA6"/>
    <w:rsid w:val="00FB3EA3"/>
    <w:rsid w:val="00FC2F29"/>
    <w:rsid w:val="00FD4954"/>
    <w:rsid w:val="00FE7EA9"/>
    <w:rsid w:val="00FF3C7A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AAB6"/>
  <w15:docId w15:val="{89A2D896-19DC-41AB-97F6-BB7F689F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013A"/>
    <w:pPr>
      <w:spacing w:after="0"/>
      <w:contextualSpacing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F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0EA9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98324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F46B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46BE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F46B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46BE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B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B64"/>
    <w:rPr>
      <w:rFonts w:ascii="Tahoma" w:hAnsi="Tahoma" w:cs="Tahoma"/>
      <w:sz w:val="16"/>
      <w:szCs w:val="16"/>
    </w:rPr>
  </w:style>
  <w:style w:type="paragraph" w:customStyle="1" w:styleId="Styl12bZarovnatdobloku">
    <w:name w:val="Styl 12 b. Zarovnat do bloku"/>
    <w:basedOn w:val="Normln"/>
    <w:rsid w:val="00984B96"/>
    <w:pPr>
      <w:spacing w:line="240" w:lineRule="auto"/>
      <w:ind w:firstLine="227"/>
      <w:contextualSpacing w:val="0"/>
      <w:jc w:val="both"/>
    </w:pPr>
    <w:rPr>
      <w:rFonts w:eastAsia="Times New Roman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AD0304"/>
    <w:pPr>
      <w:spacing w:after="0" w:line="240" w:lineRule="auto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D03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304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304"/>
    <w:rPr>
      <w:rFonts w:ascii="Times New Roman" w:hAnsi="Times New Roman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C36A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C36A0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semiHidden/>
    <w:rsid w:val="006B13B5"/>
    <w:pPr>
      <w:spacing w:line="240" w:lineRule="auto"/>
      <w:contextualSpacing w:val="0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B13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F226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F226A"/>
    <w:rPr>
      <w:rFonts w:ascii="Times New Roman" w:hAnsi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232A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232A0"/>
    <w:rPr>
      <w:rFonts w:ascii="Times New Roman" w:hAnsi="Times New Roman"/>
      <w:sz w:val="24"/>
    </w:rPr>
  </w:style>
  <w:style w:type="paragraph" w:styleId="Bezmezer">
    <w:name w:val="No Spacing"/>
    <w:uiPriority w:val="1"/>
    <w:qFormat/>
    <w:rsid w:val="00BC5AD4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rsid w:val="008D6F8A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ela.exnarova@mk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k.gov.cz/program-regenerace-mestskych-pamatkovych-rezervaci-a-mestskych-pamatkovych-zon-cs-2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k.gov.cz/program-regenerace-mestskych-pamatkovych-rezervaci-a-mestskych-pamatkovych-zon-cs-2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9753C-FB7C-44F6-9EFD-B927E9FF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3696</Words>
  <Characters>21813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Kratochvílová Irena</dc:creator>
  <cp:lastModifiedBy>Exnarová Michaela</cp:lastModifiedBy>
  <cp:revision>14</cp:revision>
  <cp:lastPrinted>2023-10-03T07:46:00Z</cp:lastPrinted>
  <dcterms:created xsi:type="dcterms:W3CDTF">2025-09-30T10:39:00Z</dcterms:created>
  <dcterms:modified xsi:type="dcterms:W3CDTF">2025-10-01T08:59:00Z</dcterms:modified>
</cp:coreProperties>
</file>