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28" w:rsidRPr="00577528" w:rsidRDefault="00577528" w:rsidP="005C3E41">
      <w:pPr>
        <w:pStyle w:val="K-Text"/>
        <w:spacing w:line="240" w:lineRule="auto"/>
        <w:jc w:val="center"/>
        <w:rPr>
          <w:rFonts w:eastAsiaTheme="minorEastAsia"/>
          <w:b/>
          <w:bCs/>
          <w:sz w:val="32"/>
          <w:szCs w:val="32"/>
          <w:u w:val="single"/>
        </w:rPr>
      </w:pPr>
      <w:bookmarkStart w:id="0" w:name="_GoBack"/>
      <w:bookmarkEnd w:id="0"/>
      <w:r w:rsidRPr="00577528">
        <w:rPr>
          <w:rFonts w:eastAsiaTheme="minorEastAsia"/>
          <w:b/>
          <w:bCs/>
          <w:sz w:val="32"/>
          <w:szCs w:val="32"/>
          <w:u w:val="single"/>
        </w:rPr>
        <w:t>Národní plán obnovy</w:t>
      </w:r>
    </w:p>
    <w:p w:rsidR="00577528" w:rsidRDefault="00577528" w:rsidP="00577528">
      <w:pPr>
        <w:pStyle w:val="K-Text"/>
        <w:spacing w:line="240" w:lineRule="auto"/>
        <w:rPr>
          <w:rFonts w:eastAsiaTheme="minorEastAsia"/>
          <w:b/>
          <w:bCs/>
          <w:sz w:val="22"/>
          <w:szCs w:val="22"/>
        </w:rPr>
      </w:pPr>
    </w:p>
    <w:p w:rsidR="00577528" w:rsidRPr="00577528" w:rsidRDefault="00577528" w:rsidP="00577528">
      <w:pPr>
        <w:pStyle w:val="K-Text"/>
        <w:spacing w:line="240" w:lineRule="auto"/>
        <w:rPr>
          <w:rFonts w:eastAsiaTheme="minorEastAsia"/>
          <w:b/>
          <w:bCs/>
          <w:sz w:val="22"/>
          <w:szCs w:val="22"/>
        </w:rPr>
      </w:pPr>
      <w:r w:rsidRPr="00577528">
        <w:rPr>
          <w:rFonts w:eastAsiaTheme="minorEastAsia"/>
          <w:b/>
          <w:bCs/>
          <w:sz w:val="22"/>
          <w:szCs w:val="22"/>
        </w:rPr>
        <w:t>Komponenta 4. 5. – Rozvoj kulturního a kreativního sektoru</w:t>
      </w:r>
    </w:p>
    <w:p w:rsidR="00577528" w:rsidRPr="00577528" w:rsidRDefault="00577528" w:rsidP="00577528">
      <w:pPr>
        <w:pStyle w:val="K-Text"/>
        <w:spacing w:line="240" w:lineRule="auto"/>
        <w:rPr>
          <w:rFonts w:eastAsiaTheme="minorEastAsia"/>
          <w:b/>
          <w:bCs/>
          <w:sz w:val="22"/>
          <w:szCs w:val="22"/>
        </w:rPr>
      </w:pPr>
      <w:r w:rsidRPr="00577528">
        <w:rPr>
          <w:rFonts w:eastAsiaTheme="minorEastAsia"/>
          <w:b/>
          <w:bCs/>
          <w:sz w:val="22"/>
          <w:szCs w:val="22"/>
        </w:rPr>
        <w:t xml:space="preserve">Aktivita </w:t>
      </w:r>
      <w:r w:rsidRPr="00577528">
        <w:rPr>
          <w:rFonts w:eastAsiaTheme="minorEastAsia"/>
          <w:b/>
          <w:bCs/>
          <w:sz w:val="22"/>
          <w:szCs w:val="22"/>
        </w:rPr>
        <w:t>4 – Kreativní vouchery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48"/>
        <w:gridCol w:w="6940"/>
      </w:tblGrid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Výzva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Dle OECD v ČR zaostává produktivita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mikrofirem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 za většími subjekty.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Mikrofirmy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 přitom tvoří 80 % všech eko</w:t>
            </w:r>
            <w:r>
              <w:rPr>
                <w:rFonts w:eastAsiaTheme="minorEastAsia"/>
                <w:sz w:val="22"/>
                <w:szCs w:val="22"/>
              </w:rPr>
              <w:t>nomických subjektů (bez OSVČ) a </w:t>
            </w:r>
            <w:r w:rsidRPr="00577528">
              <w:rPr>
                <w:rFonts w:eastAsiaTheme="minorEastAsia"/>
                <w:sz w:val="22"/>
                <w:szCs w:val="22"/>
              </w:rPr>
              <w:t>jsou páteří české ekonomiky. Jedním z důvodů je omezený přístup SME ke kapitálu a poskytovatelům znalostí a inovací. Krize tento problém dále prohloubí. Problematické je zejména nedostatečné</w:t>
            </w:r>
            <w:r>
              <w:rPr>
                <w:rFonts w:eastAsiaTheme="minorEastAsia"/>
                <w:sz w:val="22"/>
                <w:szCs w:val="22"/>
              </w:rPr>
              <w:t xml:space="preserve"> provázání mezi SME a </w:t>
            </w:r>
            <w:r w:rsidRPr="00577528">
              <w:rPr>
                <w:rFonts w:eastAsiaTheme="minorEastAsia"/>
                <w:sz w:val="22"/>
                <w:szCs w:val="22"/>
              </w:rPr>
              <w:t xml:space="preserve">kulturními a kreativními odvětvími, která představují relativně novou oblast hospodářství a jejich přínos pro inovativnost a konkurenceschopnost tak dosud nebyl dostatečně zhodnocen. Malé subjekty jsou přitom díky externím službám kreativních profesionálů schopny inovovat i v pro ně přirozených netechnologických oblastech. Díky tomu mohou pohotově reagovat na požadavky trhu a jsou konkurenceschopnější.  </w:t>
            </w:r>
          </w:p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Zásadním problémem je tak neexistence celostátního nástroje na zapojení KKO do inovačního ekosystému ČR. Hlavním důvodem je administrativní náročnost velkého počtu žádostí. Existující programy se proto v rámci podpory konkurenceschopnosti zaměřují zejména na tvrdé inovace ve formě výzkumu a vývoje s technickým zaměřením. V těchto oblastech stát zásadně vstupuje do vztahu mezi firmami jako zprostředkovatel a poskytuje vyšší částky podpory. Měkké inovace jako design webu, produktů a služeb, grafický design nebo marketingové stra</w:t>
            </w:r>
            <w:r>
              <w:rPr>
                <w:rFonts w:eastAsiaTheme="minorEastAsia"/>
                <w:sz w:val="22"/>
                <w:szCs w:val="22"/>
              </w:rPr>
              <w:t>tegie a dále aktivity spojené s </w:t>
            </w:r>
            <w:r w:rsidRPr="00577528">
              <w:rPr>
                <w:rFonts w:eastAsiaTheme="minorEastAsia"/>
                <w:sz w:val="22"/>
                <w:szCs w:val="22"/>
              </w:rPr>
              <w:t>podporou vývozu pak většinou patří mezi nezpůsobilé výdaje.</w:t>
            </w:r>
            <w:r>
              <w:rPr>
                <w:rFonts w:eastAsiaTheme="minorEastAsia"/>
                <w:sz w:val="22"/>
                <w:szCs w:val="22"/>
              </w:rPr>
              <w:t xml:space="preserve"> Až na </w:t>
            </w:r>
            <w:r w:rsidRPr="00577528">
              <w:rPr>
                <w:rFonts w:eastAsiaTheme="minorEastAsia"/>
                <w:sz w:val="22"/>
                <w:szCs w:val="22"/>
              </w:rPr>
              <w:t>výjimky má také většina programů příliš velkou výši dotace</w:t>
            </w:r>
            <w:r>
              <w:rPr>
                <w:rFonts w:eastAsiaTheme="minorEastAsia"/>
                <w:sz w:val="22"/>
                <w:szCs w:val="22"/>
              </w:rPr>
              <w:t xml:space="preserve"> a </w:t>
            </w:r>
            <w:r w:rsidRPr="00577528">
              <w:rPr>
                <w:rFonts w:eastAsiaTheme="minorEastAsia"/>
                <w:sz w:val="22"/>
                <w:szCs w:val="22"/>
              </w:rPr>
              <w:t>poměrně nízkou procentuální míru veřejné podpory, než aby byla vhodná pro SME a kulturní a kreativní odvětví.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Cíl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Cílem je pomoci malým a středním podnikům s adaptací na změny vyvolané krizí a nutností tzv. dvojí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tranzice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. Druhotně se jedná o začlenění KKO do inovačního ekosystému ČR a jejich zohlednění jako motoru inovací a růstu. Výhodou je dále multiplikační efekt kreativních voucherů (pokračování spolupráce, zakázky nad rámec voucheru), který zvyšuje jejich dopad na ekonomiku. Souhrnným cílem je rozdělit podporu v rámci 3300 voucherů a design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creditů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>.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Implementace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tabs>
                <w:tab w:val="left" w:pos="1584"/>
              </w:tabs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Vznik kreativní galerie včetně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backendu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 administrativního systému (zahrnuje projektový manuál, administrační systém a licence pro editaci kreativní galerie, editaci přihlášek firem, až po fázi uzavírání smluv/žádost o voucher/závěrečná zpráva a automatick</w:t>
            </w:r>
            <w:r>
              <w:rPr>
                <w:rFonts w:eastAsiaTheme="minorEastAsia"/>
                <w:sz w:val="22"/>
                <w:szCs w:val="22"/>
              </w:rPr>
              <w:t>ou/individuální komunikaci). Dá </w:t>
            </w:r>
            <w:r w:rsidRPr="00577528">
              <w:rPr>
                <w:rFonts w:eastAsiaTheme="minorEastAsia"/>
                <w:sz w:val="22"/>
                <w:szCs w:val="22"/>
              </w:rPr>
              <w:t>se nicméně využít dobré lokální praxe zejména z Jihomoravského inovačního centra. Kreativní galerie vznikne jako součást širší komunikační platformy pro KKO.</w:t>
            </w:r>
          </w:p>
          <w:p w:rsidR="00577528" w:rsidRPr="00577528" w:rsidRDefault="00577528" w:rsidP="00ED40E0">
            <w:pPr>
              <w:pStyle w:val="K-Text"/>
              <w:tabs>
                <w:tab w:val="left" w:pos="1584"/>
              </w:tabs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Bude dále nutné připravit vzory smluv, metodiku evaluace, formuláře,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checklisty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>, FAQ. Následovat bude prezentace programu a vypsání výzvy včetně informační kampaně o existenci nového nástroje.</w:t>
            </w:r>
          </w:p>
          <w:p w:rsidR="00577528" w:rsidRPr="00577528" w:rsidRDefault="00577528" w:rsidP="00ED40E0">
            <w:pPr>
              <w:pStyle w:val="K-Text"/>
              <w:tabs>
                <w:tab w:val="left" w:pos="1584"/>
              </w:tabs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Třetím krokem je příprava administrace na úrovni krajů (školení administrátorů, příprava propagace) a přidělení voucherů (firmy jako žadatelé budou omezeni dle kraje, kreativní profesionálové budou moci své služby poskytovat celostátně s limitem 2 voucherů na subjekt, aby nedošlo </w:t>
            </w:r>
            <w:r w:rsidRPr="00577528">
              <w:rPr>
                <w:rFonts w:eastAsiaTheme="minorEastAsia"/>
                <w:sz w:val="22"/>
                <w:szCs w:val="22"/>
              </w:rPr>
              <w:lastRenderedPageBreak/>
              <w:t>k čerpání pouze velkými reklamními agenturami). Po prvních dvou výzvách proběhne evaluace přihlášených projektů a případná úprava nastavení kreativních voucherů.</w:t>
            </w:r>
          </w:p>
          <w:p w:rsidR="00577528" w:rsidRPr="00577528" w:rsidRDefault="00577528" w:rsidP="00ED40E0">
            <w:pPr>
              <w:pStyle w:val="K-Text"/>
              <w:tabs>
                <w:tab w:val="left" w:pos="1584"/>
              </w:tabs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V přechodném období 2021-2022 než </w:t>
            </w:r>
            <w:proofErr w:type="gramStart"/>
            <w:r w:rsidRPr="00577528">
              <w:rPr>
                <w:rFonts w:eastAsiaTheme="minorEastAsia"/>
                <w:sz w:val="22"/>
                <w:szCs w:val="22"/>
              </w:rPr>
              <w:t>dojde</w:t>
            </w:r>
            <w:proofErr w:type="gramEnd"/>
            <w:r w:rsidRPr="00577528">
              <w:rPr>
                <w:rFonts w:eastAsiaTheme="minorEastAsia"/>
                <w:sz w:val="22"/>
                <w:szCs w:val="22"/>
              </w:rPr>
              <w:t xml:space="preserve"> k zavedení nového nástroje kreativních voucherů </w:t>
            </w:r>
            <w:proofErr w:type="gramStart"/>
            <w:r w:rsidRPr="00577528">
              <w:rPr>
                <w:rFonts w:eastAsiaTheme="minorEastAsia"/>
                <w:sz w:val="22"/>
                <w:szCs w:val="22"/>
              </w:rPr>
              <w:t>bude</w:t>
            </w:r>
            <w:proofErr w:type="gramEnd"/>
            <w:r w:rsidRPr="00577528">
              <w:rPr>
                <w:rFonts w:eastAsiaTheme="minorEastAsia"/>
                <w:sz w:val="22"/>
                <w:szCs w:val="22"/>
              </w:rPr>
              <w:t xml:space="preserve"> k podpoře oblasti použit tzv. Design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Credit</w:t>
            </w:r>
            <w:r>
              <w:rPr>
                <w:rFonts w:eastAsiaTheme="minorEastAsia"/>
                <w:sz w:val="22"/>
                <w:szCs w:val="22"/>
              </w:rPr>
              <w:t>s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>. Ten využívá již existujícího administrativního systému projektu Design pro konkurenceschopnost, je proto připraven k okamžitému financování. Prostředky ve výši 50 mil. Kč budo</w:t>
            </w:r>
            <w:r>
              <w:rPr>
                <w:rFonts w:eastAsiaTheme="minorEastAsia"/>
                <w:sz w:val="22"/>
                <w:szCs w:val="22"/>
              </w:rPr>
              <w:t xml:space="preserve">u rozděleny v rámci cca 300 Design </w:t>
            </w:r>
            <w:proofErr w:type="spellStart"/>
            <w:r>
              <w:rPr>
                <w:rFonts w:eastAsiaTheme="minorEastAsia"/>
                <w:sz w:val="22"/>
                <w:szCs w:val="22"/>
              </w:rPr>
              <w:t>C</w:t>
            </w:r>
            <w:r w:rsidRPr="00577528">
              <w:rPr>
                <w:rFonts w:eastAsiaTheme="minorEastAsia"/>
                <w:sz w:val="22"/>
                <w:szCs w:val="22"/>
              </w:rPr>
              <w:t>reditů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 a pomohou mj.  překlenout období přípravy do realizace projektu Design pro konkurenceschopnost III z </w:t>
            </w:r>
            <w:proofErr w:type="gramStart"/>
            <w:r w:rsidRPr="00577528">
              <w:rPr>
                <w:rFonts w:eastAsiaTheme="minorEastAsia"/>
                <w:sz w:val="22"/>
                <w:szCs w:val="22"/>
              </w:rPr>
              <w:t>OP</w:t>
            </w:r>
            <w:proofErr w:type="gramEnd"/>
            <w:r w:rsidRPr="00577528">
              <w:rPr>
                <w:rFonts w:eastAsiaTheme="minorEastAsia"/>
                <w:sz w:val="22"/>
                <w:szCs w:val="22"/>
              </w:rPr>
              <w:t xml:space="preserve"> TAK.</w:t>
            </w:r>
          </w:p>
        </w:tc>
      </w:tr>
      <w:tr w:rsidR="00577528" w:rsidRPr="00577528" w:rsidTr="00ED40E0">
        <w:trPr>
          <w:trHeight w:val="70"/>
        </w:trPr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lastRenderedPageBreak/>
              <w:t>Spolupráce a zapojení zúčastněných stran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kraje,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CzechInvest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 xml:space="preserve">,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CzechTrade</w:t>
            </w:r>
            <w:proofErr w:type="spellEnd"/>
            <w:r w:rsidRPr="00577528">
              <w:rPr>
                <w:rFonts w:eastAsiaTheme="minorEastAsia"/>
                <w:sz w:val="22"/>
                <w:szCs w:val="22"/>
              </w:rPr>
              <w:t>/Design Centrum, regionální inovační centra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Překážky a rizika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Nedostatečná informovanost o existenci nástroje, neztotožnění se kreativců s nástrojem, nezájem SME, malý efekt na zohlednění KKO v rámci inovačního ekosystému po 2023, administrativní náročnost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Cílové skupiny populace a ekonomické subjekty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SME, kreativní profesionálové 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Souhrnné náklady realizace financované z RRF za celé období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560 mil.</w:t>
            </w:r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Dodržování pravidel státní podpory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GBER pro SME, splňuje podmínku de </w:t>
            </w:r>
            <w:proofErr w:type="spellStart"/>
            <w:r w:rsidRPr="00577528">
              <w:rPr>
                <w:rFonts w:eastAsiaTheme="minorEastAsia"/>
                <w:sz w:val="22"/>
                <w:szCs w:val="22"/>
              </w:rPr>
              <w:t>minimis</w:t>
            </w:r>
            <w:proofErr w:type="spellEnd"/>
          </w:p>
        </w:tc>
      </w:tr>
      <w:tr w:rsidR="00577528" w:rsidRPr="00577528" w:rsidTr="00ED40E0">
        <w:tc>
          <w:tcPr>
            <w:tcW w:w="2405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>Uveďte dobu implementace</w:t>
            </w:r>
          </w:p>
        </w:tc>
        <w:tc>
          <w:tcPr>
            <w:tcW w:w="7223" w:type="dxa"/>
          </w:tcPr>
          <w:p w:rsidR="00577528" w:rsidRPr="00577528" w:rsidRDefault="00577528" w:rsidP="00ED40E0">
            <w:pPr>
              <w:pStyle w:val="K-Text"/>
              <w:spacing w:line="240" w:lineRule="auto"/>
              <w:rPr>
                <w:rFonts w:eastAsiaTheme="minorEastAsia"/>
                <w:sz w:val="22"/>
                <w:szCs w:val="22"/>
              </w:rPr>
            </w:pPr>
            <w:r w:rsidRPr="00577528">
              <w:rPr>
                <w:rFonts w:eastAsiaTheme="minorEastAsia"/>
                <w:sz w:val="22"/>
                <w:szCs w:val="22"/>
              </w:rPr>
              <w:t xml:space="preserve">2021-2025 </w:t>
            </w:r>
          </w:p>
        </w:tc>
      </w:tr>
    </w:tbl>
    <w:p w:rsidR="00577528" w:rsidRPr="00577528" w:rsidRDefault="00577528" w:rsidP="00577528">
      <w:pPr>
        <w:pStyle w:val="K-Text"/>
        <w:spacing w:line="240" w:lineRule="auto"/>
        <w:rPr>
          <w:rFonts w:eastAsiaTheme="minorEastAsia"/>
          <w:sz w:val="22"/>
          <w:szCs w:val="22"/>
        </w:rPr>
      </w:pPr>
    </w:p>
    <w:p w:rsidR="006D187C" w:rsidRPr="00577528" w:rsidRDefault="006D187C">
      <w:pPr>
        <w:rPr>
          <w:rFonts w:ascii="Times New Roman" w:hAnsi="Times New Roman" w:cs="Times New Roman"/>
        </w:rPr>
      </w:pPr>
    </w:p>
    <w:sectPr w:rsidR="006D187C" w:rsidRPr="00577528" w:rsidSect="005C3E41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528" w:rsidRDefault="00577528" w:rsidP="00577528">
      <w:pPr>
        <w:spacing w:after="0" w:line="240" w:lineRule="auto"/>
      </w:pPr>
      <w:r>
        <w:separator/>
      </w:r>
    </w:p>
  </w:endnote>
  <w:endnote w:type="continuationSeparator" w:id="0">
    <w:p w:rsidR="00577528" w:rsidRDefault="00577528" w:rsidP="0057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468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E17B0" w:rsidRPr="001E17B0" w:rsidRDefault="001E17B0">
        <w:pPr>
          <w:pStyle w:val="Zpat"/>
          <w:jc w:val="right"/>
          <w:rPr>
            <w:rFonts w:ascii="Times New Roman" w:hAnsi="Times New Roman" w:cs="Times New Roman"/>
          </w:rPr>
        </w:pPr>
        <w:r w:rsidRPr="001E17B0">
          <w:rPr>
            <w:rFonts w:ascii="Times New Roman" w:hAnsi="Times New Roman" w:cs="Times New Roman"/>
          </w:rPr>
          <w:fldChar w:fldCharType="begin"/>
        </w:r>
        <w:r w:rsidRPr="001E17B0">
          <w:rPr>
            <w:rFonts w:ascii="Times New Roman" w:hAnsi="Times New Roman" w:cs="Times New Roman"/>
          </w:rPr>
          <w:instrText>PAGE   \* MERGEFORMAT</w:instrText>
        </w:r>
        <w:r w:rsidRPr="001E17B0">
          <w:rPr>
            <w:rFonts w:ascii="Times New Roman" w:hAnsi="Times New Roman" w:cs="Times New Roman"/>
          </w:rPr>
          <w:fldChar w:fldCharType="separate"/>
        </w:r>
        <w:r w:rsidR="005C3E41">
          <w:rPr>
            <w:rFonts w:ascii="Times New Roman" w:hAnsi="Times New Roman" w:cs="Times New Roman"/>
            <w:noProof/>
          </w:rPr>
          <w:t>1</w:t>
        </w:r>
        <w:r w:rsidRPr="001E17B0">
          <w:rPr>
            <w:rFonts w:ascii="Times New Roman" w:hAnsi="Times New Roman" w:cs="Times New Roman"/>
          </w:rPr>
          <w:fldChar w:fldCharType="end"/>
        </w:r>
      </w:p>
    </w:sdtContent>
  </w:sdt>
  <w:p w:rsidR="001E17B0" w:rsidRDefault="001E17B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528" w:rsidRDefault="00577528" w:rsidP="00577528">
      <w:pPr>
        <w:spacing w:after="0" w:line="240" w:lineRule="auto"/>
      </w:pPr>
      <w:r>
        <w:separator/>
      </w:r>
    </w:p>
  </w:footnote>
  <w:footnote w:type="continuationSeparator" w:id="0">
    <w:p w:rsidR="00577528" w:rsidRDefault="00577528" w:rsidP="00577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28" w:rsidRDefault="005C3E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10ACBC2" wp14:editId="66377D89">
          <wp:simplePos x="0" y="0"/>
          <wp:positionH relativeFrom="column">
            <wp:posOffset>4021455</wp:posOffset>
          </wp:positionH>
          <wp:positionV relativeFrom="paragraph">
            <wp:posOffset>-55880</wp:posOffset>
          </wp:positionV>
          <wp:extent cx="1808480" cy="557530"/>
          <wp:effectExtent l="0" t="0" r="1270" b="0"/>
          <wp:wrapTight wrapText="bothSides">
            <wp:wrapPolygon edited="0">
              <wp:start x="0" y="0"/>
              <wp:lineTo x="0" y="20665"/>
              <wp:lineTo x="21388" y="20665"/>
              <wp:lineTo x="21388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K ČR.poz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E3C1637" wp14:editId="022CF049">
          <wp:simplePos x="0" y="0"/>
          <wp:positionH relativeFrom="column">
            <wp:posOffset>-106045</wp:posOffset>
          </wp:positionH>
          <wp:positionV relativeFrom="paragraph">
            <wp:posOffset>-113030</wp:posOffset>
          </wp:positionV>
          <wp:extent cx="2190750" cy="615950"/>
          <wp:effectExtent l="0" t="0" r="0" b="0"/>
          <wp:wrapTight wrapText="bothSides">
            <wp:wrapPolygon edited="0">
              <wp:start x="0" y="0"/>
              <wp:lineTo x="0" y="20709"/>
              <wp:lineTo x="21412" y="20709"/>
              <wp:lineTo x="21412" y="0"/>
              <wp:lineTo x="0" y="0"/>
            </wp:wrapPolygon>
          </wp:wrapTight>
          <wp:docPr id="26" name="Obráze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528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2F18144" wp14:editId="05F8C8FA">
          <wp:simplePos x="0" y="0"/>
          <wp:positionH relativeFrom="column">
            <wp:posOffset>2199005</wp:posOffset>
          </wp:positionH>
          <wp:positionV relativeFrom="paragraph">
            <wp:posOffset>-151130</wp:posOffset>
          </wp:positionV>
          <wp:extent cx="1581150" cy="717550"/>
          <wp:effectExtent l="0" t="0" r="0" b="6350"/>
          <wp:wrapTight wrapText="bothSides">
            <wp:wrapPolygon edited="0">
              <wp:start x="0" y="0"/>
              <wp:lineTo x="0" y="21218"/>
              <wp:lineTo x="21340" y="21218"/>
              <wp:lineTo x="21340" y="0"/>
              <wp:lineTo x="0" y="0"/>
            </wp:wrapPolygon>
          </wp:wrapTight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28"/>
    <w:rsid w:val="001E17B0"/>
    <w:rsid w:val="00577528"/>
    <w:rsid w:val="005C3E41"/>
    <w:rsid w:val="006D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77528"/>
    <w:pPr>
      <w:spacing w:after="160" w:line="293" w:lineRule="auto"/>
    </w:pPr>
    <w:rPr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-Text">
    <w:name w:val="K-Text"/>
    <w:basedOn w:val="Normln"/>
    <w:link w:val="K-TextChar"/>
    <w:qFormat/>
    <w:rsid w:val="00577528"/>
    <w:pPr>
      <w:spacing w:after="120"/>
      <w:jc w:val="both"/>
    </w:pPr>
    <w:rPr>
      <w:rFonts w:ascii="Times New Roman" w:hAnsi="Times New Roman" w:cs="Times New Roman"/>
      <w:iCs/>
      <w:color w:val="auto"/>
      <w:sz w:val="23"/>
      <w:szCs w:val="23"/>
    </w:rPr>
  </w:style>
  <w:style w:type="character" w:customStyle="1" w:styleId="K-TextChar">
    <w:name w:val="K-Text Char"/>
    <w:basedOn w:val="Standardnpsmoodstavce"/>
    <w:link w:val="K-Text"/>
    <w:rsid w:val="00577528"/>
    <w:rPr>
      <w:rFonts w:ascii="Times New Roman" w:hAnsi="Times New Roman" w:cs="Times New Roman"/>
      <w:iCs/>
      <w:sz w:val="23"/>
      <w:szCs w:val="23"/>
    </w:rPr>
  </w:style>
  <w:style w:type="table" w:styleId="Mkatabulky">
    <w:name w:val="Table Grid"/>
    <w:basedOn w:val="Normlntabulka"/>
    <w:uiPriority w:val="39"/>
    <w:rsid w:val="00577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7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7528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57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7528"/>
    <w:rPr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7528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577528"/>
    <w:pPr>
      <w:spacing w:after="160" w:line="293" w:lineRule="auto"/>
    </w:pPr>
    <w:rPr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-Text">
    <w:name w:val="K-Text"/>
    <w:basedOn w:val="Normln"/>
    <w:link w:val="K-TextChar"/>
    <w:qFormat/>
    <w:rsid w:val="00577528"/>
    <w:pPr>
      <w:spacing w:after="120"/>
      <w:jc w:val="both"/>
    </w:pPr>
    <w:rPr>
      <w:rFonts w:ascii="Times New Roman" w:hAnsi="Times New Roman" w:cs="Times New Roman"/>
      <w:iCs/>
      <w:color w:val="auto"/>
      <w:sz w:val="23"/>
      <w:szCs w:val="23"/>
    </w:rPr>
  </w:style>
  <w:style w:type="character" w:customStyle="1" w:styleId="K-TextChar">
    <w:name w:val="K-Text Char"/>
    <w:basedOn w:val="Standardnpsmoodstavce"/>
    <w:link w:val="K-Text"/>
    <w:rsid w:val="00577528"/>
    <w:rPr>
      <w:rFonts w:ascii="Times New Roman" w:hAnsi="Times New Roman" w:cs="Times New Roman"/>
      <w:iCs/>
      <w:sz w:val="23"/>
      <w:szCs w:val="23"/>
    </w:rPr>
  </w:style>
  <w:style w:type="table" w:styleId="Mkatabulky">
    <w:name w:val="Table Grid"/>
    <w:basedOn w:val="Normlntabulka"/>
    <w:uiPriority w:val="39"/>
    <w:rsid w:val="00577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7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7528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577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7528"/>
    <w:rPr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7528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Peksová Marie</dc:creator>
  <cp:lastModifiedBy>Peksová Marie</cp:lastModifiedBy>
  <cp:revision>2</cp:revision>
  <dcterms:created xsi:type="dcterms:W3CDTF">2022-02-23T17:43:00Z</dcterms:created>
  <dcterms:modified xsi:type="dcterms:W3CDTF">2022-02-23T17:57:00Z</dcterms:modified>
</cp:coreProperties>
</file>